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ADD" w:rsidRDefault="00536ADD" w:rsidP="00795464">
      <w:pPr>
        <w:jc w:val="right"/>
        <w:rPr>
          <w:rFonts w:ascii="Arial" w:hAnsi="Arial" w:cs="Arial"/>
          <w:b/>
          <w:sz w:val="44"/>
          <w:szCs w:val="44"/>
        </w:rPr>
      </w:pPr>
      <w:bookmarkStart w:id="0" w:name="_Toc153189647"/>
      <w:bookmarkStart w:id="1" w:name="_GoBack"/>
      <w:bookmarkEnd w:id="1"/>
    </w:p>
    <w:p w:rsidR="00536ADD" w:rsidRDefault="00536ADD" w:rsidP="00536ADD">
      <w:pPr>
        <w:pStyle w:val="WPnumber"/>
        <w:rPr>
          <w:rFonts w:ascii="Arial" w:hAnsi="Arial" w:cs="Arial"/>
          <w:b w:val="0"/>
          <w:sz w:val="44"/>
          <w:szCs w:val="44"/>
        </w:rPr>
      </w:pPr>
    </w:p>
    <w:p w:rsidR="00536ADD" w:rsidRPr="00500C4E" w:rsidRDefault="00536ADD" w:rsidP="00536ADD">
      <w:pPr>
        <w:pStyle w:val="WPnumber"/>
        <w:ind w:left="4320"/>
        <w:jc w:val="left"/>
      </w:pPr>
      <w:r w:rsidRPr="00500C4E">
        <w:t xml:space="preserve">Work Paper </w:t>
      </w:r>
      <w:sdt>
        <w:sdtPr>
          <w:alias w:val="Title"/>
          <w:tag w:val=""/>
          <w:id w:val="650333005"/>
          <w:placeholder>
            <w:docPart w:val="47DC4BC39E3544228D2A8945279F6060"/>
          </w:placeholder>
          <w:dataBinding w:prefixMappings="xmlns:ns0='http://purl.org/dc/elements/1.1/' xmlns:ns1='http://schemas.openxmlformats.org/package/2006/metadata/core-properties' " w:xpath="/ns1:coreProperties[1]/ns0:title[1]" w:storeItemID="{6C3C8BC8-F283-45AE-878A-BAB7291924A1}"/>
          <w:text/>
        </w:sdtPr>
        <w:sdtEndPr/>
        <w:sdtContent>
          <w:r>
            <w:t>SCE13CC011</w:t>
          </w:r>
        </w:sdtContent>
      </w:sdt>
    </w:p>
    <w:p w:rsidR="00536ADD" w:rsidRPr="00500C4E" w:rsidRDefault="00D1774C" w:rsidP="00536ADD">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CE895B1DC8304230A8F72CA562B9A6E7"/>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973BE3">
            <w:rPr>
              <w:rStyle w:val="CaptionChar"/>
              <w:rFonts w:asciiTheme="minorHAnsi" w:hAnsiTheme="minorHAnsi" w:cstheme="minorHAnsi"/>
              <w:b/>
              <w:bCs w:val="0"/>
              <w:sz w:val="48"/>
              <w:szCs w:val="48"/>
            </w:rPr>
            <w:t>Revision 4</w:t>
          </w:r>
        </w:sdtContent>
      </w:sdt>
    </w:p>
    <w:p w:rsidR="00536ADD" w:rsidRPr="00500C4E" w:rsidRDefault="00536ADD" w:rsidP="00536ADD">
      <w:pPr>
        <w:jc w:val="right"/>
        <w:rPr>
          <w:rFonts w:cstheme="minorHAnsi"/>
          <w:b/>
          <w:sz w:val="48"/>
          <w:szCs w:val="48"/>
        </w:rPr>
      </w:pPr>
    </w:p>
    <w:bookmarkStart w:id="2" w:name="SCE"/>
    <w:p w:rsidR="00536ADD" w:rsidRPr="00536ADD" w:rsidRDefault="00D1774C" w:rsidP="00536ADD">
      <w:pPr>
        <w:pBdr>
          <w:bottom w:val="single" w:sz="4" w:space="1" w:color="auto"/>
        </w:pBdr>
        <w:rPr>
          <w:rFonts w:asciiTheme="minorHAnsi" w:hAnsiTheme="minorHAnsi" w:cstheme="minorHAnsi"/>
          <w:b/>
          <w:sz w:val="36"/>
          <w:szCs w:val="36"/>
        </w:rPr>
      </w:pPr>
      <w:sdt>
        <w:sdtPr>
          <w:rPr>
            <w:rFonts w:asciiTheme="minorHAnsi" w:hAnsiTheme="minorHAnsi" w:cstheme="minorHAnsi"/>
            <w:b/>
            <w:sz w:val="36"/>
            <w:szCs w:val="36"/>
          </w:rPr>
          <w:alias w:val="Company"/>
          <w:tag w:val=""/>
          <w:id w:val="1319073251"/>
          <w:placeholder>
            <w:docPart w:val="A9E6B0A547CC41B6B93F1B61E58D7785"/>
          </w:placeholder>
          <w:dataBinding w:prefixMappings="xmlns:ns0='http://schemas.openxmlformats.org/officeDocument/2006/extended-properties' " w:xpath="/ns0:Properties[1]/ns0:Company[1]" w:storeItemID="{6668398D-A668-4E3E-A5EB-62B293D839F1}"/>
          <w:text/>
        </w:sdtPr>
        <w:sdtEndPr/>
        <w:sdtContent>
          <w:r w:rsidR="00536ADD" w:rsidRPr="00536ADD">
            <w:rPr>
              <w:rFonts w:asciiTheme="minorHAnsi" w:hAnsiTheme="minorHAnsi" w:cstheme="minorHAnsi"/>
              <w:b/>
              <w:sz w:val="36"/>
              <w:szCs w:val="36"/>
            </w:rPr>
            <w:t>Southern California Edison</w:t>
          </w:r>
        </w:sdtContent>
      </w:sdt>
      <w:bookmarkEnd w:id="2"/>
    </w:p>
    <w:p w:rsidR="00536ADD" w:rsidRPr="00500C4E" w:rsidRDefault="00536ADD" w:rsidP="00536ADD">
      <w:pPr>
        <w:rPr>
          <w:rFonts w:cstheme="minorHAnsi"/>
        </w:rPr>
      </w:pPr>
    </w:p>
    <w:p w:rsidR="00536ADD" w:rsidRPr="00500C4E" w:rsidRDefault="00536ADD" w:rsidP="00536ADD">
      <w:pPr>
        <w:rPr>
          <w:rFonts w:cstheme="minorHAnsi"/>
        </w:rPr>
      </w:pPr>
    </w:p>
    <w:p w:rsidR="00536ADD" w:rsidRPr="00500C4E" w:rsidRDefault="00536ADD" w:rsidP="00536ADD">
      <w:pPr>
        <w:tabs>
          <w:tab w:val="left" w:pos="8190"/>
        </w:tabs>
        <w:rPr>
          <w:rFonts w:cstheme="minorHAnsi"/>
        </w:rPr>
      </w:pPr>
      <w:r w:rsidRPr="00500C4E">
        <w:rPr>
          <w:rFonts w:cstheme="minorHAnsi"/>
        </w:rPr>
        <w:tab/>
      </w:r>
    </w:p>
    <w:p w:rsidR="00536ADD" w:rsidRPr="00500C4E" w:rsidRDefault="00536ADD" w:rsidP="00536ADD">
      <w:pPr>
        <w:rPr>
          <w:rFonts w:cstheme="minorHAnsi"/>
        </w:rPr>
      </w:pPr>
    </w:p>
    <w:p w:rsidR="00536ADD" w:rsidRDefault="00536ADD" w:rsidP="00536ADD">
      <w:pPr>
        <w:rPr>
          <w:rFonts w:cstheme="minorHAnsi"/>
        </w:rPr>
      </w:pPr>
    </w:p>
    <w:p w:rsidR="007942E4" w:rsidRDefault="007942E4" w:rsidP="00536ADD">
      <w:pPr>
        <w:rPr>
          <w:rFonts w:cstheme="minorHAnsi"/>
        </w:rPr>
      </w:pPr>
    </w:p>
    <w:p w:rsidR="007942E4" w:rsidRPr="00500C4E" w:rsidRDefault="007942E4" w:rsidP="00536ADD">
      <w:pPr>
        <w:rPr>
          <w:rFonts w:cstheme="minorHAnsi"/>
        </w:rPr>
      </w:pPr>
    </w:p>
    <w:p w:rsidR="00536ADD" w:rsidRPr="00500C4E" w:rsidRDefault="00536ADD" w:rsidP="00536ADD">
      <w:pPr>
        <w:rPr>
          <w:rFonts w:cstheme="minorHAnsi"/>
        </w:rPr>
      </w:pPr>
    </w:p>
    <w:p w:rsidR="00536ADD" w:rsidRPr="00500C4E" w:rsidRDefault="00536ADD" w:rsidP="00536ADD">
      <w:pPr>
        <w:rPr>
          <w:rFonts w:cstheme="minorHAnsi"/>
        </w:rPr>
      </w:pPr>
    </w:p>
    <w:p w:rsidR="00536ADD" w:rsidRPr="00500C4E" w:rsidRDefault="00536ADD" w:rsidP="00536ADD">
      <w:pPr>
        <w:rPr>
          <w:rFonts w:cstheme="minorHAnsi"/>
        </w:rPr>
      </w:pPr>
    </w:p>
    <w:p w:rsidR="00536ADD" w:rsidRPr="00536ADD" w:rsidRDefault="00536ADD" w:rsidP="00536ADD">
      <w:pPr>
        <w:rPr>
          <w:rFonts w:ascii="Calibri" w:hAnsi="Calibri" w:cstheme="minorHAnsi"/>
          <w:b/>
          <w:sz w:val="72"/>
          <w:szCs w:val="72"/>
        </w:rPr>
        <w:sectPr w:rsidR="00536ADD" w:rsidRPr="00536ADD">
          <w:footerReference w:type="default" r:id="rId11"/>
          <w:pgSz w:w="12240" w:h="15840"/>
          <w:pgMar w:top="1440" w:right="1440" w:bottom="1440" w:left="1440" w:header="720" w:footer="720" w:gutter="0"/>
          <w:cols w:space="720"/>
          <w:docGrid w:linePitch="360"/>
        </w:sectPr>
      </w:pPr>
      <w:r w:rsidRPr="00536ADD">
        <w:rPr>
          <w:rFonts w:ascii="Calibri" w:hAnsi="Calibri" w:cstheme="minorHAnsi"/>
          <w:b/>
          <w:sz w:val="72"/>
          <w:szCs w:val="72"/>
        </w:rPr>
        <w:t>Commercial Convection Oven</w:t>
      </w:r>
    </w:p>
    <w:p w:rsidR="00536ADD" w:rsidRPr="00500C4E" w:rsidRDefault="00536ADD" w:rsidP="00536ADD">
      <w:pPr>
        <w:pStyle w:val="Heading1"/>
      </w:pPr>
    </w:p>
    <w:p w:rsidR="00536ADD" w:rsidRDefault="00536ADD">
      <w:pPr>
        <w:rPr>
          <w:rFonts w:ascii="Arial" w:hAnsi="Arial" w:cs="Arial"/>
          <w:b/>
          <w:sz w:val="44"/>
          <w:szCs w:val="44"/>
        </w:rPr>
      </w:pPr>
    </w:p>
    <w:p w:rsidR="00795464" w:rsidRPr="00795464" w:rsidRDefault="00795464" w:rsidP="00795464">
      <w:pPr>
        <w:jc w:val="right"/>
        <w:rPr>
          <w:rFonts w:ascii="Arial" w:hAnsi="Arial" w:cs="Arial"/>
          <w:b/>
          <w:sz w:val="44"/>
          <w:szCs w:val="44"/>
        </w:rPr>
      </w:pPr>
      <w:r w:rsidRPr="00795464">
        <w:rPr>
          <w:rFonts w:ascii="Arial" w:hAnsi="Arial" w:cs="Arial"/>
          <w:b/>
          <w:sz w:val="44"/>
          <w:szCs w:val="44"/>
        </w:rPr>
        <w:t>Work Paper PGECOFST101</w:t>
      </w:r>
    </w:p>
    <w:p w:rsidR="00F578B9" w:rsidRPr="005631D2" w:rsidRDefault="00795464" w:rsidP="00795464">
      <w:pPr>
        <w:jc w:val="right"/>
        <w:rPr>
          <w:rFonts w:ascii="Arial" w:hAnsi="Arial" w:cs="Arial"/>
          <w:b/>
          <w:sz w:val="44"/>
          <w:szCs w:val="44"/>
        </w:rPr>
      </w:pPr>
      <w:r w:rsidRPr="00795464">
        <w:rPr>
          <w:rFonts w:ascii="Arial" w:hAnsi="Arial" w:cs="Arial"/>
          <w:b/>
          <w:sz w:val="44"/>
          <w:szCs w:val="44"/>
        </w:rPr>
        <w:t>Commercial Convection Oven</w:t>
      </w:r>
      <w:r w:rsidR="006754F5" w:rsidRPr="006754F5">
        <w:rPr>
          <w:rFonts w:ascii="Arial" w:hAnsi="Arial" w:cs="Arial"/>
          <w:b/>
          <w:sz w:val="44"/>
          <w:szCs w:val="44"/>
        </w:rPr>
        <w:t>-Electric and Gas</w:t>
      </w:r>
      <w:r w:rsidR="006754F5">
        <w:rPr>
          <w:rFonts w:ascii="Arial" w:hAnsi="Arial" w:cs="Arial"/>
          <w:b/>
          <w:sz w:val="44"/>
          <w:szCs w:val="44"/>
        </w:rPr>
        <w:t xml:space="preserve"> </w:t>
      </w:r>
      <w:r w:rsidR="00F578B9" w:rsidRPr="005631D2">
        <w:rPr>
          <w:rFonts w:ascii="Arial" w:hAnsi="Arial" w:cs="Arial"/>
          <w:b/>
          <w:sz w:val="44"/>
          <w:szCs w:val="44"/>
        </w:rPr>
        <w:t>Revision #</w:t>
      </w:r>
      <w:bookmarkEnd w:id="0"/>
      <w:r w:rsidR="00F578B9" w:rsidRPr="005631D2">
        <w:rPr>
          <w:rFonts w:ascii="Arial" w:hAnsi="Arial" w:cs="Arial"/>
          <w:b/>
          <w:sz w:val="44"/>
          <w:szCs w:val="44"/>
        </w:rPr>
        <w:t xml:space="preserve"> </w:t>
      </w:r>
      <w:r w:rsidR="003F21CB">
        <w:rPr>
          <w:rFonts w:ascii="Arial" w:hAnsi="Arial" w:cs="Arial"/>
          <w:b/>
          <w:sz w:val="44"/>
          <w:szCs w:val="44"/>
        </w:rPr>
        <w:t>6</w:t>
      </w:r>
    </w:p>
    <w:p w:rsidR="00F578B9" w:rsidRDefault="00F578B9" w:rsidP="00F578B9"/>
    <w:p w:rsidR="00F578B9" w:rsidRDefault="00F578B9" w:rsidP="00F578B9"/>
    <w:p w:rsidR="00F578B9" w:rsidRDefault="00F578B9" w:rsidP="00F578B9"/>
    <w:p w:rsidR="00F578B9" w:rsidRDefault="00F578B9" w:rsidP="00F578B9"/>
    <w:p w:rsidR="00F578B9" w:rsidRDefault="00F578B9" w:rsidP="00F578B9">
      <w:pPr>
        <w:pBdr>
          <w:bottom w:val="single" w:sz="4" w:space="1" w:color="auto"/>
        </w:pBdr>
        <w:rPr>
          <w:rFonts w:ascii="Arial" w:hAnsi="Arial" w:cs="Arial"/>
          <w:b/>
          <w:sz w:val="36"/>
          <w:szCs w:val="36"/>
        </w:rPr>
      </w:pPr>
      <w:r>
        <w:rPr>
          <w:rFonts w:ascii="Arial" w:hAnsi="Arial" w:cs="Arial"/>
          <w:b/>
          <w:sz w:val="36"/>
          <w:szCs w:val="36"/>
        </w:rPr>
        <w:t>Pacific Gas &amp; Electric Company</w:t>
      </w:r>
    </w:p>
    <w:p w:rsidR="00F578B9" w:rsidRDefault="00F578B9" w:rsidP="00F578B9">
      <w:pPr>
        <w:rPr>
          <w:rFonts w:ascii="Arial" w:hAnsi="Arial" w:cs="Arial"/>
          <w:b/>
          <w:sz w:val="32"/>
          <w:szCs w:val="32"/>
        </w:rPr>
      </w:pPr>
      <w:r>
        <w:rPr>
          <w:rFonts w:ascii="Arial" w:hAnsi="Arial" w:cs="Arial"/>
          <w:b/>
          <w:sz w:val="32"/>
          <w:szCs w:val="32"/>
        </w:rPr>
        <w:t xml:space="preserve">Customer Energy </w:t>
      </w:r>
      <w:r w:rsidR="00B76B8C">
        <w:rPr>
          <w:rFonts w:ascii="Arial" w:hAnsi="Arial" w:cs="Arial"/>
          <w:b/>
          <w:sz w:val="32"/>
          <w:szCs w:val="32"/>
        </w:rPr>
        <w:t>Solutions</w:t>
      </w:r>
    </w:p>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795464" w:rsidP="00F578B9">
      <w:pPr>
        <w:rPr>
          <w:rFonts w:ascii="Arial" w:hAnsi="Arial" w:cs="Arial"/>
          <w:b/>
          <w:color w:val="FF0000"/>
          <w:sz w:val="72"/>
          <w:szCs w:val="72"/>
        </w:rPr>
        <w:sectPr w:rsidR="00F578B9">
          <w:footerReference w:type="even" r:id="rId12"/>
          <w:footerReference w:type="default" r:id="rId13"/>
          <w:footerReference w:type="first" r:id="rId14"/>
          <w:endnotePr>
            <w:numFmt w:val="decimal"/>
          </w:endnotePr>
          <w:pgSz w:w="12240" w:h="15840" w:code="1"/>
          <w:pgMar w:top="1440" w:right="1800" w:bottom="1440" w:left="1800" w:header="720" w:footer="720" w:gutter="0"/>
          <w:pgNumType w:fmt="lowerRoman"/>
          <w:cols w:space="720"/>
          <w:titlePg/>
          <w:docGrid w:linePitch="360"/>
        </w:sectPr>
      </w:pPr>
      <w:r w:rsidRPr="00795464">
        <w:rPr>
          <w:rFonts w:ascii="Arial" w:hAnsi="Arial" w:cs="Arial"/>
          <w:b/>
          <w:sz w:val="72"/>
          <w:szCs w:val="72"/>
        </w:rPr>
        <w:t xml:space="preserve">Commercial Convection Oven-Electric and Gas </w:t>
      </w:r>
      <w:r w:rsidR="00F50539" w:rsidRPr="00F50539">
        <w:t xml:space="preserve">Measure Codes </w:t>
      </w:r>
      <w:r>
        <w:t>F187</w:t>
      </w:r>
      <w:r w:rsidRPr="00F1064A">
        <w:t>,</w:t>
      </w:r>
      <w:r>
        <w:t xml:space="preserve"> </w:t>
      </w:r>
      <w:r w:rsidRPr="00F1064A">
        <w:t>F1</w:t>
      </w:r>
      <w:r>
        <w:t>88</w:t>
      </w:r>
    </w:p>
    <w:p w:rsidR="008A0EA2" w:rsidRPr="0021242B" w:rsidRDefault="008A0EA2" w:rsidP="008A0EA2">
      <w:pPr>
        <w:pStyle w:val="Heading1"/>
        <w:rPr>
          <w:lang w:val="en-US"/>
        </w:rPr>
      </w:pPr>
      <w:bookmarkStart w:id="3" w:name="_Toc385861580"/>
      <w:bookmarkStart w:id="4" w:name="_Toc458439228"/>
      <w:bookmarkStart w:id="5" w:name="_Toc184544712"/>
      <w:bookmarkStart w:id="6" w:name="_Toc185161311"/>
      <w:r>
        <w:lastRenderedPageBreak/>
        <w:t>At a Glance Summary</w:t>
      </w:r>
      <w:bookmarkEnd w:id="3"/>
      <w:r w:rsidR="0021242B">
        <w:rPr>
          <w:lang w:val="en-US"/>
        </w:rPr>
        <w:t xml:space="preserve"> – Electric Convection Ovens</w:t>
      </w:r>
      <w:bookmarkEnd w:id="4"/>
    </w:p>
    <w:tbl>
      <w:tblPr>
        <w:tblW w:w="9755" w:type="dxa"/>
        <w:tblBorders>
          <w:insideH w:val="single" w:sz="18" w:space="0" w:color="FFFFFF"/>
          <w:insideV w:val="single" w:sz="18" w:space="0" w:color="FFFFFF"/>
        </w:tblBorders>
        <w:tblLook w:val="01E0" w:firstRow="1" w:lastRow="1" w:firstColumn="1" w:lastColumn="1" w:noHBand="0" w:noVBand="0"/>
      </w:tblPr>
      <w:tblGrid>
        <w:gridCol w:w="2390"/>
        <w:gridCol w:w="2455"/>
        <w:gridCol w:w="2455"/>
        <w:gridCol w:w="2455"/>
      </w:tblGrid>
      <w:tr w:rsidR="008A0EA2" w:rsidTr="001C4039">
        <w:trPr>
          <w:trHeight w:val="465"/>
        </w:trPr>
        <w:tc>
          <w:tcPr>
            <w:tcW w:w="0" w:type="auto"/>
            <w:shd w:val="pct20" w:color="000000" w:fill="FFFFFF"/>
          </w:tcPr>
          <w:p w:rsidR="008A0EA2" w:rsidRPr="00F1064A" w:rsidRDefault="008A0EA2" w:rsidP="001C4039">
            <w:pPr>
              <w:rPr>
                <w:b/>
              </w:rPr>
            </w:pPr>
            <w:r w:rsidRPr="00F1064A">
              <w:rPr>
                <w:b/>
              </w:rPr>
              <w:t>Applicable Measure Codes:</w:t>
            </w:r>
          </w:p>
        </w:tc>
        <w:tc>
          <w:tcPr>
            <w:tcW w:w="0" w:type="auto"/>
            <w:shd w:val="pct20" w:color="000000" w:fill="FFFFFF"/>
          </w:tcPr>
          <w:p w:rsidR="005E5D78" w:rsidRPr="005E5D78" w:rsidRDefault="005E5D78" w:rsidP="005E5D78">
            <w:pPr>
              <w:rPr>
                <w:b/>
                <w:sz w:val="20"/>
                <w:szCs w:val="20"/>
              </w:rPr>
            </w:pPr>
            <w:r w:rsidRPr="005E5D78">
              <w:rPr>
                <w:b/>
                <w:sz w:val="20"/>
                <w:szCs w:val="20"/>
              </w:rPr>
              <w:t>FS-68320</w:t>
            </w:r>
          </w:p>
          <w:p w:rsidR="008A0EA2" w:rsidRDefault="008A0EA2" w:rsidP="001C4039">
            <w:pPr>
              <w:rPr>
                <w:b/>
                <w:sz w:val="20"/>
                <w:szCs w:val="20"/>
              </w:rPr>
            </w:pPr>
          </w:p>
        </w:tc>
        <w:tc>
          <w:tcPr>
            <w:tcW w:w="0" w:type="auto"/>
            <w:shd w:val="pct20" w:color="000000" w:fill="FFFFFF"/>
          </w:tcPr>
          <w:p w:rsidR="005E5D78" w:rsidRDefault="008A0EA2" w:rsidP="001C4039">
            <w:pPr>
              <w:rPr>
                <w:b/>
                <w:sz w:val="20"/>
                <w:szCs w:val="20"/>
              </w:rPr>
            </w:pPr>
            <w:r>
              <w:rPr>
                <w:b/>
                <w:sz w:val="20"/>
                <w:szCs w:val="20"/>
              </w:rPr>
              <w:t>F187</w:t>
            </w:r>
            <w:r w:rsidR="005E5D78">
              <w:rPr>
                <w:b/>
                <w:sz w:val="20"/>
                <w:szCs w:val="20"/>
              </w:rPr>
              <w:t xml:space="preserve"> and SCE </w:t>
            </w:r>
          </w:p>
          <w:p w:rsidR="005E5D78" w:rsidRPr="005E5D78" w:rsidRDefault="005E5D78" w:rsidP="005E5D78">
            <w:pPr>
              <w:rPr>
                <w:b/>
                <w:sz w:val="20"/>
                <w:szCs w:val="20"/>
              </w:rPr>
            </w:pPr>
            <w:r w:rsidRPr="005E5D78">
              <w:rPr>
                <w:b/>
                <w:sz w:val="20"/>
                <w:szCs w:val="20"/>
              </w:rPr>
              <w:t>FS-59869</w:t>
            </w:r>
          </w:p>
          <w:p w:rsidR="008A0EA2" w:rsidRDefault="008A0EA2" w:rsidP="001C4039">
            <w:pPr>
              <w:rPr>
                <w:b/>
                <w:sz w:val="20"/>
                <w:szCs w:val="20"/>
              </w:rPr>
            </w:pPr>
          </w:p>
        </w:tc>
        <w:tc>
          <w:tcPr>
            <w:tcW w:w="0" w:type="auto"/>
            <w:shd w:val="pct20" w:color="000000" w:fill="FFFFFF"/>
          </w:tcPr>
          <w:p w:rsidR="005E5D78" w:rsidRPr="005E5D78" w:rsidRDefault="005E5D78" w:rsidP="005E5D78">
            <w:pPr>
              <w:rPr>
                <w:b/>
                <w:sz w:val="20"/>
                <w:szCs w:val="20"/>
              </w:rPr>
            </w:pPr>
            <w:r w:rsidRPr="005E5D78">
              <w:rPr>
                <w:b/>
                <w:sz w:val="20"/>
                <w:szCs w:val="20"/>
              </w:rPr>
              <w:t>FS-78439</w:t>
            </w:r>
          </w:p>
          <w:p w:rsidR="008A0EA2" w:rsidRDefault="008A0EA2" w:rsidP="001C4039">
            <w:pPr>
              <w:rPr>
                <w:b/>
                <w:sz w:val="20"/>
                <w:szCs w:val="20"/>
              </w:rPr>
            </w:pPr>
          </w:p>
        </w:tc>
      </w:tr>
      <w:tr w:rsidR="008A0EA2" w:rsidTr="001C4039">
        <w:trPr>
          <w:trHeight w:val="465"/>
        </w:trPr>
        <w:tc>
          <w:tcPr>
            <w:tcW w:w="0" w:type="auto"/>
            <w:shd w:val="pct5" w:color="000000" w:fill="FFFFFF"/>
          </w:tcPr>
          <w:p w:rsidR="008A0EA2" w:rsidRDefault="008A0EA2" w:rsidP="001C4039">
            <w:pPr>
              <w:rPr>
                <w:b/>
              </w:rPr>
            </w:pPr>
            <w:r>
              <w:rPr>
                <w:b/>
              </w:rPr>
              <w:t xml:space="preserve">Measure Description: </w:t>
            </w:r>
          </w:p>
        </w:tc>
        <w:tc>
          <w:tcPr>
            <w:tcW w:w="0" w:type="auto"/>
            <w:shd w:val="pct5" w:color="000000" w:fill="FFFFFF"/>
          </w:tcPr>
          <w:p w:rsidR="008A0EA2" w:rsidRDefault="008A0EA2" w:rsidP="001C4039">
            <w:pPr>
              <w:rPr>
                <w:sz w:val="20"/>
                <w:szCs w:val="20"/>
              </w:rPr>
            </w:pPr>
            <w:r>
              <w:rPr>
                <w:sz w:val="20"/>
                <w:szCs w:val="20"/>
              </w:rPr>
              <w:t>Commercial Half-Size Convection Oven (Electric)</w:t>
            </w:r>
          </w:p>
        </w:tc>
        <w:tc>
          <w:tcPr>
            <w:tcW w:w="0" w:type="auto"/>
            <w:shd w:val="pct5" w:color="000000" w:fill="FFFFFF"/>
          </w:tcPr>
          <w:p w:rsidR="008A0EA2" w:rsidRDefault="008A0EA2" w:rsidP="001C4039">
            <w:pPr>
              <w:rPr>
                <w:sz w:val="20"/>
                <w:szCs w:val="20"/>
              </w:rPr>
            </w:pPr>
            <w:r>
              <w:rPr>
                <w:sz w:val="20"/>
                <w:szCs w:val="20"/>
              </w:rPr>
              <w:t>Commercial Full-Size Convection Oven (Electric)</w:t>
            </w:r>
          </w:p>
        </w:tc>
        <w:tc>
          <w:tcPr>
            <w:tcW w:w="0" w:type="auto"/>
            <w:shd w:val="pct5" w:color="000000" w:fill="FFFFFF"/>
          </w:tcPr>
          <w:p w:rsidR="008A0EA2" w:rsidRDefault="008A0EA2" w:rsidP="001C4039">
            <w:pPr>
              <w:rPr>
                <w:sz w:val="20"/>
                <w:szCs w:val="20"/>
              </w:rPr>
            </w:pPr>
            <w:r>
              <w:rPr>
                <w:sz w:val="20"/>
                <w:szCs w:val="20"/>
              </w:rPr>
              <w:t>Commercial Large Full-Size Convection Oven (Electric)</w:t>
            </w:r>
          </w:p>
        </w:tc>
      </w:tr>
      <w:tr w:rsidR="008A0EA2" w:rsidTr="001C4039">
        <w:trPr>
          <w:trHeight w:val="465"/>
        </w:trPr>
        <w:tc>
          <w:tcPr>
            <w:tcW w:w="0" w:type="auto"/>
            <w:shd w:val="pct20" w:color="000000" w:fill="FFFFFF"/>
          </w:tcPr>
          <w:p w:rsidR="008A0EA2" w:rsidRDefault="008A0EA2" w:rsidP="001C4039">
            <w:pPr>
              <w:rPr>
                <w:b/>
              </w:rPr>
            </w:pPr>
            <w:r>
              <w:rPr>
                <w:b/>
              </w:rPr>
              <w:t xml:space="preserve">Energy Impact Common Units: </w:t>
            </w:r>
          </w:p>
        </w:tc>
        <w:tc>
          <w:tcPr>
            <w:tcW w:w="0" w:type="auto"/>
            <w:shd w:val="pct20" w:color="000000" w:fill="FFFFFF"/>
          </w:tcPr>
          <w:p w:rsidR="008A0EA2" w:rsidRDefault="008A0EA2" w:rsidP="001C4039">
            <w:pPr>
              <w:rPr>
                <w:sz w:val="20"/>
                <w:szCs w:val="20"/>
              </w:rPr>
            </w:pPr>
            <w:r>
              <w:rPr>
                <w:sz w:val="20"/>
                <w:szCs w:val="20"/>
              </w:rPr>
              <w:t>Convection Oven</w:t>
            </w:r>
            <w:r w:rsidR="00512D9B">
              <w:rPr>
                <w:sz w:val="20"/>
                <w:szCs w:val="20"/>
              </w:rPr>
              <w:t>, Each</w:t>
            </w:r>
            <w:r>
              <w:rPr>
                <w:sz w:val="20"/>
                <w:szCs w:val="20"/>
              </w:rPr>
              <w:t xml:space="preserve"> </w:t>
            </w:r>
          </w:p>
        </w:tc>
        <w:tc>
          <w:tcPr>
            <w:tcW w:w="0" w:type="auto"/>
            <w:shd w:val="pct20" w:color="000000" w:fill="FFFFFF"/>
          </w:tcPr>
          <w:p w:rsidR="008A0EA2" w:rsidRDefault="00512D9B" w:rsidP="001C4039">
            <w:pPr>
              <w:rPr>
                <w:sz w:val="20"/>
                <w:szCs w:val="20"/>
              </w:rPr>
            </w:pPr>
            <w:r>
              <w:rPr>
                <w:sz w:val="20"/>
                <w:szCs w:val="20"/>
              </w:rPr>
              <w:t>Convection Oven, Each</w:t>
            </w:r>
          </w:p>
        </w:tc>
        <w:tc>
          <w:tcPr>
            <w:tcW w:w="0" w:type="auto"/>
            <w:shd w:val="pct20" w:color="000000" w:fill="FFFFFF"/>
          </w:tcPr>
          <w:p w:rsidR="008A0EA2" w:rsidRDefault="008A0EA2" w:rsidP="001C4039">
            <w:pPr>
              <w:rPr>
                <w:sz w:val="20"/>
                <w:szCs w:val="20"/>
              </w:rPr>
            </w:pPr>
            <w:r>
              <w:rPr>
                <w:sz w:val="20"/>
                <w:szCs w:val="20"/>
              </w:rPr>
              <w:t>Convection Oven</w:t>
            </w:r>
            <w:r w:rsidR="00512D9B">
              <w:rPr>
                <w:sz w:val="20"/>
                <w:szCs w:val="20"/>
              </w:rPr>
              <w:t>, Each</w:t>
            </w:r>
            <w:r>
              <w:rPr>
                <w:sz w:val="20"/>
                <w:szCs w:val="20"/>
              </w:rPr>
              <w:t xml:space="preserve"> </w:t>
            </w:r>
          </w:p>
        </w:tc>
      </w:tr>
      <w:tr w:rsidR="008A0EA2" w:rsidTr="001C4039">
        <w:trPr>
          <w:trHeight w:val="465"/>
        </w:trPr>
        <w:tc>
          <w:tcPr>
            <w:tcW w:w="0" w:type="auto"/>
            <w:shd w:val="pct5" w:color="000000" w:fill="FFFFFF"/>
          </w:tcPr>
          <w:p w:rsidR="008A0EA2" w:rsidRDefault="008A0EA2" w:rsidP="001C4039">
            <w:pPr>
              <w:rPr>
                <w:b/>
              </w:rPr>
            </w:pPr>
            <w:r>
              <w:rPr>
                <w:b/>
              </w:rPr>
              <w:t>Base Case Description:</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Existing Half-Size Electric Convection Oven</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Existing Full-Size Electric Convection Oven</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Existing Large Full-Size Electric Convection Oven</w:t>
            </w:r>
          </w:p>
        </w:tc>
      </w:tr>
      <w:tr w:rsidR="008A0EA2" w:rsidTr="001C4039">
        <w:trPr>
          <w:trHeight w:val="465"/>
        </w:trPr>
        <w:tc>
          <w:tcPr>
            <w:tcW w:w="0" w:type="auto"/>
            <w:shd w:val="pct20" w:color="000000" w:fill="FFFFFF"/>
          </w:tcPr>
          <w:p w:rsidR="008A0EA2" w:rsidRDefault="008A0EA2" w:rsidP="001C4039">
            <w:pPr>
              <w:rPr>
                <w:b/>
              </w:rPr>
            </w:pPr>
            <w:r>
              <w:rPr>
                <w:b/>
              </w:rPr>
              <w:t xml:space="preserve">Base Case Energy Consumption: </w:t>
            </w:r>
          </w:p>
        </w:tc>
        <w:tc>
          <w:tcPr>
            <w:tcW w:w="0" w:type="auto"/>
            <w:shd w:val="pct20" w:color="000000" w:fill="FFFFFF"/>
          </w:tcPr>
          <w:p w:rsidR="008A0EA2" w:rsidRPr="002714B3" w:rsidRDefault="008A0EA2" w:rsidP="000D68CF">
            <w:pPr>
              <w:rPr>
                <w:sz w:val="20"/>
                <w:szCs w:val="20"/>
              </w:rPr>
            </w:pPr>
            <w:r w:rsidRPr="002714B3">
              <w:rPr>
                <w:sz w:val="20"/>
                <w:szCs w:val="20"/>
              </w:rPr>
              <w:t>Source: PG&amp;E Calculations</w:t>
            </w:r>
            <w:r w:rsidRPr="002714B3">
              <w:rPr>
                <w:sz w:val="20"/>
                <w:szCs w:val="20"/>
              </w:rPr>
              <w:br/>
              <w:t>9,</w:t>
            </w:r>
            <w:r w:rsidR="000D68CF" w:rsidRPr="002714B3">
              <w:rPr>
                <w:sz w:val="20"/>
                <w:szCs w:val="20"/>
              </w:rPr>
              <w:t>692</w:t>
            </w:r>
            <w:r w:rsidRPr="002714B3">
              <w:rPr>
                <w:sz w:val="20"/>
                <w:szCs w:val="20"/>
              </w:rPr>
              <w:t xml:space="preserve"> kWh/yr</w:t>
            </w:r>
          </w:p>
        </w:tc>
        <w:tc>
          <w:tcPr>
            <w:tcW w:w="0" w:type="auto"/>
            <w:shd w:val="pct20" w:color="000000" w:fill="FFFFFF"/>
          </w:tcPr>
          <w:p w:rsidR="008A0EA2" w:rsidRDefault="0084491E" w:rsidP="001C4039">
            <w:pPr>
              <w:rPr>
                <w:sz w:val="20"/>
                <w:szCs w:val="20"/>
              </w:rPr>
            </w:pPr>
            <w:r>
              <w:rPr>
                <w:sz w:val="20"/>
                <w:szCs w:val="20"/>
              </w:rPr>
              <w:t>Source: PG&amp;E Calculations</w:t>
            </w:r>
            <w:r>
              <w:rPr>
                <w:sz w:val="20"/>
                <w:szCs w:val="20"/>
              </w:rPr>
              <w:br/>
            </w:r>
            <w:r w:rsidRPr="002714B3">
              <w:rPr>
                <w:sz w:val="20"/>
                <w:szCs w:val="20"/>
              </w:rPr>
              <w:t>12,193</w:t>
            </w:r>
            <w:r w:rsidR="008A0EA2" w:rsidRPr="002714B3">
              <w:rPr>
                <w:sz w:val="20"/>
                <w:szCs w:val="20"/>
              </w:rPr>
              <w:t xml:space="preserve"> kWh/yr</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14,527kWh/yr</w:t>
            </w:r>
          </w:p>
        </w:tc>
      </w:tr>
      <w:tr w:rsidR="008A0EA2" w:rsidTr="001C4039">
        <w:trPr>
          <w:trHeight w:val="465"/>
        </w:trPr>
        <w:tc>
          <w:tcPr>
            <w:tcW w:w="0" w:type="auto"/>
            <w:shd w:val="pct5" w:color="000000" w:fill="FFFFFF"/>
          </w:tcPr>
          <w:p w:rsidR="008A0EA2" w:rsidRDefault="008A0EA2" w:rsidP="001C4039">
            <w:pPr>
              <w:rPr>
                <w:b/>
              </w:rPr>
            </w:pPr>
            <w:r>
              <w:rPr>
                <w:b/>
              </w:rPr>
              <w:t>Measure Energy Consumption:</w:t>
            </w:r>
          </w:p>
        </w:tc>
        <w:tc>
          <w:tcPr>
            <w:tcW w:w="0" w:type="auto"/>
            <w:shd w:val="pct5" w:color="000000" w:fill="FFFFFF"/>
          </w:tcPr>
          <w:p w:rsidR="008A0EA2" w:rsidRDefault="000D68CF" w:rsidP="001C4039">
            <w:pPr>
              <w:rPr>
                <w:sz w:val="20"/>
                <w:szCs w:val="20"/>
              </w:rPr>
            </w:pPr>
            <w:r>
              <w:rPr>
                <w:sz w:val="20"/>
                <w:szCs w:val="20"/>
              </w:rPr>
              <w:t>Source: PG&amp;E Calculations</w:t>
            </w:r>
            <w:r>
              <w:rPr>
                <w:sz w:val="20"/>
                <w:szCs w:val="20"/>
              </w:rPr>
              <w:br/>
            </w:r>
            <w:r w:rsidRPr="002714B3">
              <w:rPr>
                <w:sz w:val="20"/>
                <w:szCs w:val="20"/>
              </w:rPr>
              <w:t>7,207</w:t>
            </w:r>
            <w:r w:rsidR="008A0EA2" w:rsidRPr="002714B3">
              <w:rPr>
                <w:sz w:val="20"/>
                <w:szCs w:val="20"/>
              </w:rPr>
              <w:t>kWh/yr</w:t>
            </w:r>
          </w:p>
        </w:tc>
        <w:tc>
          <w:tcPr>
            <w:tcW w:w="0" w:type="auto"/>
            <w:shd w:val="pct5" w:color="000000" w:fill="FFFFFF"/>
          </w:tcPr>
          <w:p w:rsidR="008A0EA2" w:rsidRDefault="0084491E" w:rsidP="001C4039">
            <w:pPr>
              <w:rPr>
                <w:sz w:val="20"/>
                <w:szCs w:val="20"/>
              </w:rPr>
            </w:pPr>
            <w:r>
              <w:rPr>
                <w:sz w:val="20"/>
                <w:szCs w:val="20"/>
              </w:rPr>
              <w:t>Source: PG&amp;E Calculations</w:t>
            </w:r>
            <w:r>
              <w:rPr>
                <w:sz w:val="20"/>
                <w:szCs w:val="20"/>
              </w:rPr>
              <w:br/>
            </w:r>
            <w:r w:rsidRPr="002714B3">
              <w:rPr>
                <w:sz w:val="20"/>
                <w:szCs w:val="20"/>
              </w:rPr>
              <w:t>9,406</w:t>
            </w:r>
            <w:r w:rsidR="008A0EA2" w:rsidRPr="002714B3">
              <w:rPr>
                <w:sz w:val="20"/>
                <w:szCs w:val="20"/>
              </w:rPr>
              <w:t xml:space="preserve"> kWh/yr</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10,914kWh/yr</w:t>
            </w:r>
          </w:p>
        </w:tc>
      </w:tr>
      <w:tr w:rsidR="008A0EA2" w:rsidTr="001C4039">
        <w:trPr>
          <w:trHeight w:val="465"/>
        </w:trPr>
        <w:tc>
          <w:tcPr>
            <w:tcW w:w="0" w:type="auto"/>
            <w:shd w:val="pct20" w:color="000000" w:fill="FFFFFF"/>
          </w:tcPr>
          <w:p w:rsidR="008A0EA2" w:rsidRDefault="008A0EA2" w:rsidP="001C4039">
            <w:pPr>
              <w:rPr>
                <w:b/>
              </w:rPr>
            </w:pPr>
            <w:r>
              <w:rPr>
                <w:b/>
              </w:rPr>
              <w:t>Energy Savings (Base Case – Measure)</w:t>
            </w:r>
          </w:p>
        </w:tc>
        <w:tc>
          <w:tcPr>
            <w:tcW w:w="0" w:type="auto"/>
            <w:shd w:val="pct20" w:color="000000" w:fill="FFFFFF"/>
          </w:tcPr>
          <w:p w:rsidR="008A0EA2" w:rsidRDefault="000D68CF" w:rsidP="001C4039">
            <w:pPr>
              <w:rPr>
                <w:sz w:val="20"/>
                <w:szCs w:val="20"/>
              </w:rPr>
            </w:pPr>
            <w:r>
              <w:rPr>
                <w:sz w:val="20"/>
                <w:szCs w:val="20"/>
              </w:rPr>
              <w:t>Source: PG&amp;E Calculation</w:t>
            </w:r>
            <w:r w:rsidRPr="002714B3">
              <w:rPr>
                <w:sz w:val="20"/>
                <w:szCs w:val="20"/>
              </w:rPr>
              <w:t>s 2,485</w:t>
            </w:r>
            <w:r w:rsidR="0070267E">
              <w:rPr>
                <w:sz w:val="20"/>
                <w:szCs w:val="20"/>
              </w:rPr>
              <w:t>*0.7=</w:t>
            </w:r>
            <w:r w:rsidR="0070267E" w:rsidRPr="0070267E">
              <w:rPr>
                <w:b/>
                <w:sz w:val="20"/>
                <w:szCs w:val="20"/>
              </w:rPr>
              <w:t xml:space="preserve">1740 </w:t>
            </w:r>
            <w:r w:rsidR="008A0EA2" w:rsidRPr="002714B3">
              <w:rPr>
                <w:sz w:val="20"/>
                <w:szCs w:val="20"/>
              </w:rPr>
              <w:t>kWh/yr</w:t>
            </w:r>
          </w:p>
        </w:tc>
        <w:tc>
          <w:tcPr>
            <w:tcW w:w="0" w:type="auto"/>
            <w:shd w:val="pct20" w:color="000000" w:fill="FFFFFF"/>
          </w:tcPr>
          <w:p w:rsidR="008A0EA2" w:rsidRDefault="0084491E" w:rsidP="001C4039">
            <w:pPr>
              <w:rPr>
                <w:sz w:val="20"/>
                <w:szCs w:val="20"/>
              </w:rPr>
            </w:pPr>
            <w:r>
              <w:rPr>
                <w:sz w:val="20"/>
                <w:szCs w:val="20"/>
              </w:rPr>
              <w:t>Source: PG&amp;E Calculation</w:t>
            </w:r>
            <w:r w:rsidRPr="002714B3">
              <w:rPr>
                <w:sz w:val="20"/>
                <w:szCs w:val="20"/>
              </w:rPr>
              <w:t>s 2,787</w:t>
            </w:r>
            <w:r w:rsidR="0070267E">
              <w:rPr>
                <w:sz w:val="20"/>
                <w:szCs w:val="20"/>
              </w:rPr>
              <w:t>*0.7=</w:t>
            </w:r>
            <w:r w:rsidR="0070267E" w:rsidRPr="0015265C">
              <w:rPr>
                <w:b/>
                <w:sz w:val="20"/>
                <w:szCs w:val="20"/>
              </w:rPr>
              <w:t>1951</w:t>
            </w:r>
            <w:r w:rsidR="0070267E">
              <w:rPr>
                <w:sz w:val="20"/>
                <w:szCs w:val="20"/>
              </w:rPr>
              <w:t xml:space="preserve"> </w:t>
            </w:r>
            <w:r w:rsidR="008A0EA2" w:rsidRPr="002714B3">
              <w:rPr>
                <w:sz w:val="20"/>
                <w:szCs w:val="20"/>
              </w:rPr>
              <w:t>kWh/yr</w:t>
            </w:r>
          </w:p>
        </w:tc>
        <w:tc>
          <w:tcPr>
            <w:tcW w:w="0" w:type="auto"/>
            <w:shd w:val="pct20" w:color="000000" w:fill="FFFFFF"/>
          </w:tcPr>
          <w:p w:rsidR="008A0EA2" w:rsidRDefault="008A0EA2" w:rsidP="001C4039">
            <w:pPr>
              <w:rPr>
                <w:sz w:val="20"/>
                <w:szCs w:val="20"/>
              </w:rPr>
            </w:pPr>
            <w:r>
              <w:rPr>
                <w:sz w:val="20"/>
                <w:szCs w:val="20"/>
              </w:rPr>
              <w:t>Source: PG&amp;E Calculations 3,613</w:t>
            </w:r>
            <w:r w:rsidR="0070267E">
              <w:rPr>
                <w:sz w:val="20"/>
                <w:szCs w:val="20"/>
              </w:rPr>
              <w:t>*0.7=</w:t>
            </w:r>
            <w:r w:rsidR="0070267E" w:rsidRPr="0070267E">
              <w:rPr>
                <w:b/>
                <w:sz w:val="20"/>
                <w:szCs w:val="20"/>
              </w:rPr>
              <w:t>2529</w:t>
            </w:r>
            <w:r w:rsidR="0070267E">
              <w:rPr>
                <w:sz w:val="20"/>
                <w:szCs w:val="20"/>
              </w:rPr>
              <w:t xml:space="preserve"> </w:t>
            </w:r>
            <w:r>
              <w:rPr>
                <w:sz w:val="20"/>
                <w:szCs w:val="20"/>
              </w:rPr>
              <w:t xml:space="preserve"> kWh/yr</w:t>
            </w:r>
          </w:p>
        </w:tc>
      </w:tr>
      <w:tr w:rsidR="008A0EA2" w:rsidTr="001C4039">
        <w:trPr>
          <w:trHeight w:val="465"/>
        </w:trPr>
        <w:tc>
          <w:tcPr>
            <w:tcW w:w="0" w:type="auto"/>
            <w:shd w:val="pct5" w:color="000000" w:fill="FFFFFF"/>
          </w:tcPr>
          <w:p w:rsidR="008A0EA2" w:rsidRDefault="008A0EA2" w:rsidP="001C4039">
            <w:pPr>
              <w:rPr>
                <w:b/>
              </w:rPr>
            </w:pPr>
            <w:r>
              <w:rPr>
                <w:b/>
              </w:rPr>
              <w:t xml:space="preserve">Costs Common Units: </w:t>
            </w:r>
          </w:p>
        </w:tc>
        <w:tc>
          <w:tcPr>
            <w:tcW w:w="0" w:type="auto"/>
            <w:shd w:val="pct5" w:color="000000" w:fill="FFFFFF"/>
          </w:tcPr>
          <w:p w:rsidR="008A0EA2" w:rsidRDefault="008A0EA2" w:rsidP="001C4039">
            <w:pPr>
              <w:rPr>
                <w:sz w:val="20"/>
                <w:szCs w:val="20"/>
              </w:rPr>
            </w:pPr>
            <w:r>
              <w:rPr>
                <w:sz w:val="20"/>
                <w:szCs w:val="20"/>
              </w:rPr>
              <w:t xml:space="preserve">Source: PG&amp;E Calculations </w:t>
            </w:r>
            <w:r>
              <w:rPr>
                <w:sz w:val="20"/>
                <w:szCs w:val="20"/>
              </w:rPr>
              <w:br/>
              <w:t xml:space="preserve">Convection Oven </w:t>
            </w:r>
          </w:p>
        </w:tc>
        <w:tc>
          <w:tcPr>
            <w:tcW w:w="0" w:type="auto"/>
            <w:shd w:val="pct5" w:color="000000" w:fill="FFFFFF"/>
          </w:tcPr>
          <w:p w:rsidR="008A0EA2" w:rsidRDefault="008A0EA2" w:rsidP="001C4039">
            <w:pPr>
              <w:rPr>
                <w:sz w:val="20"/>
                <w:szCs w:val="20"/>
              </w:rPr>
            </w:pPr>
            <w:r>
              <w:rPr>
                <w:sz w:val="20"/>
                <w:szCs w:val="20"/>
              </w:rPr>
              <w:t xml:space="preserve">Source: PG&amp;E Calculations </w:t>
            </w:r>
            <w:r>
              <w:rPr>
                <w:sz w:val="20"/>
                <w:szCs w:val="20"/>
              </w:rPr>
              <w:br/>
              <w:t xml:space="preserve">Convection Oven </w:t>
            </w:r>
          </w:p>
        </w:tc>
        <w:tc>
          <w:tcPr>
            <w:tcW w:w="0" w:type="auto"/>
            <w:shd w:val="pct5" w:color="000000" w:fill="FFFFFF"/>
          </w:tcPr>
          <w:p w:rsidR="008A0EA2" w:rsidRDefault="008A0EA2" w:rsidP="001C4039">
            <w:pPr>
              <w:rPr>
                <w:sz w:val="20"/>
                <w:szCs w:val="20"/>
              </w:rPr>
            </w:pPr>
            <w:r>
              <w:rPr>
                <w:sz w:val="20"/>
                <w:szCs w:val="20"/>
              </w:rPr>
              <w:t xml:space="preserve">Source: PG&amp;E Calculations </w:t>
            </w:r>
            <w:r>
              <w:rPr>
                <w:sz w:val="20"/>
                <w:szCs w:val="20"/>
              </w:rPr>
              <w:br/>
              <w:t xml:space="preserve">Convection Oven </w:t>
            </w:r>
          </w:p>
        </w:tc>
      </w:tr>
      <w:tr w:rsidR="008A0EA2" w:rsidTr="001C4039">
        <w:trPr>
          <w:trHeight w:val="465"/>
        </w:trPr>
        <w:tc>
          <w:tcPr>
            <w:tcW w:w="0" w:type="auto"/>
            <w:shd w:val="pct20" w:color="000000" w:fill="FFFFFF"/>
          </w:tcPr>
          <w:p w:rsidR="008A0EA2" w:rsidRDefault="008A0EA2" w:rsidP="001C4039">
            <w:pPr>
              <w:rPr>
                <w:b/>
              </w:rPr>
            </w:pPr>
            <w:r>
              <w:rPr>
                <w:b/>
              </w:rPr>
              <w:t>Base Case Equipment Cost ($/unit):</w:t>
            </w:r>
          </w:p>
        </w:tc>
        <w:tc>
          <w:tcPr>
            <w:tcW w:w="0" w:type="auto"/>
            <w:shd w:val="pct20" w:color="000000" w:fill="FFFFFF"/>
          </w:tcPr>
          <w:p w:rsidR="008A0EA2" w:rsidRPr="00E95537" w:rsidRDefault="008A0EA2" w:rsidP="001C4039">
            <w:pPr>
              <w:rPr>
                <w:sz w:val="20"/>
                <w:szCs w:val="20"/>
              </w:rPr>
            </w:pPr>
            <w:r w:rsidRPr="00E95537">
              <w:rPr>
                <w:sz w:val="20"/>
                <w:szCs w:val="20"/>
              </w:rPr>
              <w:t>Source: PG&amp;E Calculations</w:t>
            </w:r>
            <w:r w:rsidRPr="00E95537">
              <w:rPr>
                <w:sz w:val="20"/>
                <w:szCs w:val="20"/>
              </w:rPr>
              <w:br/>
              <w:t>$</w:t>
            </w:r>
            <w:r>
              <w:rPr>
                <w:sz w:val="20"/>
                <w:szCs w:val="20"/>
              </w:rPr>
              <w:t>3,605</w:t>
            </w:r>
          </w:p>
        </w:tc>
        <w:tc>
          <w:tcPr>
            <w:tcW w:w="0" w:type="auto"/>
            <w:shd w:val="pct20" w:color="000000" w:fill="FFFFFF"/>
          </w:tcPr>
          <w:p w:rsidR="008A0EA2" w:rsidRPr="00E95537" w:rsidRDefault="008A0EA2" w:rsidP="001C4039">
            <w:pPr>
              <w:rPr>
                <w:sz w:val="20"/>
                <w:szCs w:val="20"/>
              </w:rPr>
            </w:pPr>
            <w:r w:rsidRPr="00E95537">
              <w:rPr>
                <w:sz w:val="20"/>
                <w:szCs w:val="20"/>
              </w:rPr>
              <w:t>Source: PG&amp;E Calculations</w:t>
            </w:r>
            <w:r w:rsidRPr="00E95537">
              <w:rPr>
                <w:sz w:val="20"/>
                <w:szCs w:val="20"/>
              </w:rPr>
              <w:br/>
              <w:t>$</w:t>
            </w:r>
            <w:r>
              <w:rPr>
                <w:sz w:val="20"/>
                <w:szCs w:val="20"/>
              </w:rPr>
              <w:t>4,108</w:t>
            </w:r>
          </w:p>
        </w:tc>
        <w:tc>
          <w:tcPr>
            <w:tcW w:w="0" w:type="auto"/>
            <w:shd w:val="pct20" w:color="000000" w:fill="FFFFFF"/>
          </w:tcPr>
          <w:p w:rsidR="008A0EA2" w:rsidRPr="00E95537" w:rsidRDefault="008A0EA2" w:rsidP="001C4039">
            <w:pPr>
              <w:rPr>
                <w:sz w:val="20"/>
                <w:szCs w:val="20"/>
              </w:rPr>
            </w:pPr>
            <w:r w:rsidRPr="00E95537">
              <w:rPr>
                <w:sz w:val="20"/>
                <w:szCs w:val="20"/>
              </w:rPr>
              <w:t>Source: PG&amp;E Calculations</w:t>
            </w:r>
            <w:r w:rsidRPr="00E95537">
              <w:rPr>
                <w:sz w:val="20"/>
                <w:szCs w:val="20"/>
              </w:rPr>
              <w:br/>
              <w:t>$</w:t>
            </w:r>
            <w:r>
              <w:rPr>
                <w:sz w:val="20"/>
                <w:szCs w:val="20"/>
              </w:rPr>
              <w:t>7,300</w:t>
            </w:r>
          </w:p>
        </w:tc>
      </w:tr>
      <w:tr w:rsidR="008A0EA2" w:rsidTr="001C4039">
        <w:trPr>
          <w:trHeight w:val="465"/>
        </w:trPr>
        <w:tc>
          <w:tcPr>
            <w:tcW w:w="0" w:type="auto"/>
            <w:shd w:val="pct5" w:color="000000" w:fill="FFFFFF"/>
          </w:tcPr>
          <w:p w:rsidR="008A0EA2" w:rsidRDefault="008A0EA2" w:rsidP="001C4039">
            <w:pPr>
              <w:rPr>
                <w:b/>
              </w:rPr>
            </w:pPr>
            <w:r>
              <w:rPr>
                <w:b/>
              </w:rPr>
              <w:t xml:space="preserve">Measure Equipment Cost ($/unit): </w:t>
            </w:r>
          </w:p>
        </w:tc>
        <w:tc>
          <w:tcPr>
            <w:tcW w:w="0" w:type="auto"/>
            <w:shd w:val="pct5" w:color="000000" w:fill="FFFFFF"/>
          </w:tcPr>
          <w:p w:rsidR="008A0EA2" w:rsidRPr="00E95537" w:rsidRDefault="008A0EA2" w:rsidP="001C4039">
            <w:pPr>
              <w:rPr>
                <w:sz w:val="20"/>
                <w:szCs w:val="20"/>
              </w:rPr>
            </w:pPr>
            <w:r w:rsidRPr="00E95537">
              <w:rPr>
                <w:sz w:val="20"/>
                <w:szCs w:val="20"/>
              </w:rPr>
              <w:t>Source: PG&amp;E Calculations</w:t>
            </w:r>
            <w:r w:rsidRPr="00E95537">
              <w:rPr>
                <w:sz w:val="20"/>
                <w:szCs w:val="20"/>
              </w:rPr>
              <w:br/>
              <w:t>$</w:t>
            </w:r>
            <w:r>
              <w:rPr>
                <w:sz w:val="20"/>
                <w:szCs w:val="20"/>
              </w:rPr>
              <w:t>4,398</w:t>
            </w:r>
          </w:p>
        </w:tc>
        <w:tc>
          <w:tcPr>
            <w:tcW w:w="0" w:type="auto"/>
            <w:shd w:val="pct5" w:color="000000" w:fill="FFFFFF"/>
          </w:tcPr>
          <w:p w:rsidR="008A0EA2" w:rsidRPr="00E95537" w:rsidRDefault="008A0EA2" w:rsidP="001C4039">
            <w:pPr>
              <w:rPr>
                <w:sz w:val="20"/>
                <w:szCs w:val="20"/>
              </w:rPr>
            </w:pPr>
            <w:r w:rsidRPr="00E95537">
              <w:rPr>
                <w:sz w:val="20"/>
                <w:szCs w:val="20"/>
              </w:rPr>
              <w:t>Source: PG&amp;E Calculations</w:t>
            </w:r>
            <w:r w:rsidRPr="00E95537">
              <w:rPr>
                <w:sz w:val="20"/>
                <w:szCs w:val="20"/>
              </w:rPr>
              <w:br/>
              <w:t>$</w:t>
            </w:r>
            <w:r>
              <w:rPr>
                <w:sz w:val="20"/>
                <w:szCs w:val="20"/>
              </w:rPr>
              <w:t>5,115</w:t>
            </w:r>
          </w:p>
        </w:tc>
        <w:tc>
          <w:tcPr>
            <w:tcW w:w="0" w:type="auto"/>
            <w:shd w:val="pct5" w:color="000000" w:fill="FFFFFF"/>
          </w:tcPr>
          <w:p w:rsidR="008A0EA2" w:rsidRPr="00E95537" w:rsidRDefault="008A0EA2" w:rsidP="001C4039">
            <w:pPr>
              <w:rPr>
                <w:sz w:val="20"/>
                <w:szCs w:val="20"/>
              </w:rPr>
            </w:pPr>
            <w:r w:rsidRPr="00E95537">
              <w:rPr>
                <w:sz w:val="20"/>
                <w:szCs w:val="20"/>
              </w:rPr>
              <w:t>Source: PG&amp;E Calculations</w:t>
            </w:r>
            <w:r w:rsidRPr="00E95537">
              <w:rPr>
                <w:sz w:val="20"/>
                <w:szCs w:val="20"/>
              </w:rPr>
              <w:br/>
              <w:t>$</w:t>
            </w:r>
            <w:r>
              <w:rPr>
                <w:sz w:val="20"/>
                <w:szCs w:val="20"/>
              </w:rPr>
              <w:t>7,949</w:t>
            </w:r>
          </w:p>
        </w:tc>
      </w:tr>
      <w:tr w:rsidR="008A0EA2" w:rsidTr="001C4039">
        <w:trPr>
          <w:trHeight w:val="465"/>
        </w:trPr>
        <w:tc>
          <w:tcPr>
            <w:tcW w:w="0" w:type="auto"/>
            <w:shd w:val="pct20" w:color="000000" w:fill="FFFFFF"/>
          </w:tcPr>
          <w:p w:rsidR="008A0EA2" w:rsidRDefault="008A0EA2" w:rsidP="001C4039">
            <w:pPr>
              <w:rPr>
                <w:b/>
              </w:rPr>
            </w:pPr>
            <w:r>
              <w:rPr>
                <w:b/>
              </w:rPr>
              <w:t xml:space="preserve">Measure Incremental Cost ($/unit): </w:t>
            </w:r>
          </w:p>
        </w:tc>
        <w:tc>
          <w:tcPr>
            <w:tcW w:w="0" w:type="auto"/>
            <w:shd w:val="pct20" w:color="000000" w:fill="FFFFFF"/>
          </w:tcPr>
          <w:p w:rsidR="008A0EA2" w:rsidRPr="00200C0E" w:rsidRDefault="008A0EA2" w:rsidP="001C4039">
            <w:pPr>
              <w:rPr>
                <w:sz w:val="20"/>
                <w:szCs w:val="20"/>
              </w:rPr>
            </w:pPr>
            <w:r w:rsidRPr="00200C0E">
              <w:rPr>
                <w:sz w:val="20"/>
                <w:szCs w:val="20"/>
              </w:rPr>
              <w:t>Source: PG&amp;E Calculations</w:t>
            </w:r>
            <w:r w:rsidRPr="00200C0E">
              <w:rPr>
                <w:sz w:val="20"/>
                <w:szCs w:val="20"/>
              </w:rPr>
              <w:br/>
              <w:t>$</w:t>
            </w:r>
            <w:r>
              <w:rPr>
                <w:sz w:val="20"/>
                <w:szCs w:val="20"/>
              </w:rPr>
              <w:t>793</w:t>
            </w:r>
          </w:p>
        </w:tc>
        <w:tc>
          <w:tcPr>
            <w:tcW w:w="0" w:type="auto"/>
            <w:shd w:val="pct20" w:color="000000" w:fill="FFFFFF"/>
          </w:tcPr>
          <w:p w:rsidR="008A0EA2" w:rsidRPr="00E95537" w:rsidRDefault="008A0EA2" w:rsidP="001C4039">
            <w:pPr>
              <w:rPr>
                <w:sz w:val="20"/>
                <w:szCs w:val="20"/>
              </w:rPr>
            </w:pPr>
            <w:r w:rsidRPr="00200C0E">
              <w:rPr>
                <w:sz w:val="20"/>
                <w:szCs w:val="20"/>
              </w:rPr>
              <w:t>Source: PG&amp;E Calculations</w:t>
            </w:r>
            <w:r w:rsidRPr="00200C0E">
              <w:rPr>
                <w:sz w:val="20"/>
                <w:szCs w:val="20"/>
              </w:rPr>
              <w:br/>
              <w:t>$</w:t>
            </w:r>
            <w:r>
              <w:rPr>
                <w:sz w:val="20"/>
                <w:szCs w:val="20"/>
              </w:rPr>
              <w:t>1,007</w:t>
            </w:r>
          </w:p>
        </w:tc>
        <w:tc>
          <w:tcPr>
            <w:tcW w:w="0" w:type="auto"/>
            <w:shd w:val="pct20" w:color="000000" w:fill="FFFFFF"/>
          </w:tcPr>
          <w:p w:rsidR="008A0EA2" w:rsidRPr="00200C0E" w:rsidRDefault="008A0EA2" w:rsidP="001C4039">
            <w:pPr>
              <w:rPr>
                <w:sz w:val="20"/>
                <w:szCs w:val="20"/>
              </w:rPr>
            </w:pPr>
            <w:r w:rsidRPr="00200C0E">
              <w:rPr>
                <w:sz w:val="20"/>
                <w:szCs w:val="20"/>
              </w:rPr>
              <w:t>Source: PG&amp;E Calculations</w:t>
            </w:r>
            <w:r w:rsidRPr="00200C0E">
              <w:rPr>
                <w:sz w:val="20"/>
                <w:szCs w:val="20"/>
              </w:rPr>
              <w:br/>
              <w:t>$</w:t>
            </w:r>
            <w:r>
              <w:rPr>
                <w:sz w:val="20"/>
                <w:szCs w:val="20"/>
              </w:rPr>
              <w:t>649</w:t>
            </w:r>
          </w:p>
        </w:tc>
      </w:tr>
      <w:tr w:rsidR="0021242B" w:rsidTr="001C4039">
        <w:trPr>
          <w:trHeight w:val="465"/>
        </w:trPr>
        <w:tc>
          <w:tcPr>
            <w:tcW w:w="0" w:type="auto"/>
            <w:shd w:val="pct5" w:color="000000" w:fill="FFFFFF"/>
          </w:tcPr>
          <w:p w:rsidR="0021242B" w:rsidRPr="00CB3624" w:rsidRDefault="0021242B" w:rsidP="001C4039">
            <w:pPr>
              <w:rPr>
                <w:b/>
                <w:highlight w:val="red"/>
              </w:rPr>
            </w:pPr>
            <w:r w:rsidRPr="009B4A8F">
              <w:rPr>
                <w:b/>
              </w:rPr>
              <w:t xml:space="preserve">Effective Useful Life (years): </w:t>
            </w:r>
          </w:p>
        </w:tc>
        <w:tc>
          <w:tcPr>
            <w:tcW w:w="0" w:type="auto"/>
            <w:shd w:val="pct5" w:color="000000" w:fill="FFFFFF"/>
          </w:tcPr>
          <w:p w:rsidR="0021242B" w:rsidRPr="0071575E" w:rsidRDefault="0021242B" w:rsidP="001C4039">
            <w:pPr>
              <w:rPr>
                <w:sz w:val="20"/>
                <w:szCs w:val="20"/>
              </w:rPr>
            </w:pPr>
            <w:r>
              <w:rPr>
                <w:sz w:val="20"/>
                <w:szCs w:val="20"/>
              </w:rPr>
              <w:t xml:space="preserve">EULID = </w:t>
            </w:r>
          </w:p>
          <w:p w:rsidR="0021242B" w:rsidRDefault="0021242B" w:rsidP="001C4039">
            <w:pPr>
              <w:rPr>
                <w:rFonts w:ascii="Calibri" w:hAnsi="Calibri" w:cs="Calibri"/>
                <w:color w:val="000000"/>
                <w:sz w:val="22"/>
                <w:szCs w:val="22"/>
              </w:rPr>
            </w:pPr>
            <w:r>
              <w:rPr>
                <w:rFonts w:ascii="Calibri" w:hAnsi="Calibri" w:cs="Calibri"/>
                <w:color w:val="000000"/>
                <w:sz w:val="22"/>
                <w:szCs w:val="22"/>
              </w:rPr>
              <w:t>Cook-ElecConvOven</w:t>
            </w:r>
          </w:p>
          <w:p w:rsidR="0021242B" w:rsidRDefault="0021242B" w:rsidP="001C4039">
            <w:pPr>
              <w:rPr>
                <w:sz w:val="20"/>
                <w:szCs w:val="20"/>
              </w:rPr>
            </w:pPr>
            <w:r w:rsidRPr="0071575E">
              <w:rPr>
                <w:sz w:val="20"/>
                <w:szCs w:val="20"/>
              </w:rPr>
              <w:t xml:space="preserve">12 years </w:t>
            </w:r>
            <w:r>
              <w:rPr>
                <w:sz w:val="20"/>
                <w:szCs w:val="20"/>
              </w:rPr>
              <w:t xml:space="preserve">– </w:t>
            </w:r>
          </w:p>
          <w:p w:rsidR="0021242B" w:rsidRPr="0071575E" w:rsidRDefault="0021242B" w:rsidP="006F389A">
            <w:pPr>
              <w:rPr>
                <w:sz w:val="20"/>
                <w:szCs w:val="20"/>
              </w:rPr>
            </w:pPr>
            <w:r w:rsidRPr="0071575E">
              <w:rPr>
                <w:sz w:val="20"/>
                <w:szCs w:val="20"/>
              </w:rPr>
              <w:t xml:space="preserve">Source: </w:t>
            </w:r>
            <w:r>
              <w:rPr>
                <w:sz w:val="20"/>
                <w:szCs w:val="20"/>
              </w:rPr>
              <w:t>201</w:t>
            </w:r>
            <w:r w:rsidR="006F389A">
              <w:rPr>
                <w:sz w:val="20"/>
                <w:szCs w:val="20"/>
              </w:rPr>
              <w:t>6</w:t>
            </w:r>
            <w:r>
              <w:rPr>
                <w:sz w:val="20"/>
                <w:szCs w:val="20"/>
              </w:rPr>
              <w:t xml:space="preserve"> DEER </w:t>
            </w:r>
          </w:p>
        </w:tc>
        <w:tc>
          <w:tcPr>
            <w:tcW w:w="0" w:type="auto"/>
            <w:shd w:val="pct5" w:color="000000" w:fill="FFFFFF"/>
          </w:tcPr>
          <w:p w:rsidR="0021242B" w:rsidRPr="0071575E" w:rsidRDefault="0021242B" w:rsidP="0021242B">
            <w:pPr>
              <w:rPr>
                <w:sz w:val="20"/>
                <w:szCs w:val="20"/>
              </w:rPr>
            </w:pPr>
            <w:r>
              <w:rPr>
                <w:sz w:val="20"/>
                <w:szCs w:val="20"/>
              </w:rPr>
              <w:t xml:space="preserve">EULID = </w:t>
            </w:r>
          </w:p>
          <w:p w:rsidR="0021242B" w:rsidRDefault="0021242B" w:rsidP="0021242B">
            <w:pPr>
              <w:rPr>
                <w:rFonts w:ascii="Calibri" w:hAnsi="Calibri" w:cs="Calibri"/>
                <w:color w:val="000000"/>
                <w:sz w:val="22"/>
                <w:szCs w:val="22"/>
              </w:rPr>
            </w:pPr>
            <w:r>
              <w:rPr>
                <w:rFonts w:ascii="Calibri" w:hAnsi="Calibri" w:cs="Calibri"/>
                <w:color w:val="000000"/>
                <w:sz w:val="22"/>
                <w:szCs w:val="22"/>
              </w:rPr>
              <w:t>Cook-ElecConvOven</w:t>
            </w:r>
          </w:p>
          <w:p w:rsidR="0021242B" w:rsidRDefault="0021242B" w:rsidP="0021242B">
            <w:pPr>
              <w:rPr>
                <w:sz w:val="20"/>
                <w:szCs w:val="20"/>
              </w:rPr>
            </w:pPr>
            <w:r w:rsidRPr="0071575E">
              <w:rPr>
                <w:sz w:val="20"/>
                <w:szCs w:val="20"/>
              </w:rPr>
              <w:t xml:space="preserve">12 years </w:t>
            </w:r>
            <w:r>
              <w:rPr>
                <w:sz w:val="20"/>
                <w:szCs w:val="20"/>
              </w:rPr>
              <w:t xml:space="preserve">– </w:t>
            </w:r>
          </w:p>
          <w:p w:rsidR="0021242B" w:rsidRPr="0071575E" w:rsidRDefault="0021242B" w:rsidP="006F389A">
            <w:pPr>
              <w:rPr>
                <w:sz w:val="20"/>
                <w:szCs w:val="20"/>
              </w:rPr>
            </w:pPr>
            <w:r w:rsidRPr="0071575E">
              <w:rPr>
                <w:sz w:val="20"/>
                <w:szCs w:val="20"/>
              </w:rPr>
              <w:t xml:space="preserve">Source: </w:t>
            </w:r>
            <w:r>
              <w:rPr>
                <w:sz w:val="20"/>
                <w:szCs w:val="20"/>
              </w:rPr>
              <w:t>201</w:t>
            </w:r>
            <w:r w:rsidR="006F389A">
              <w:rPr>
                <w:sz w:val="20"/>
                <w:szCs w:val="20"/>
              </w:rPr>
              <w:t>6</w:t>
            </w:r>
            <w:r>
              <w:rPr>
                <w:sz w:val="20"/>
                <w:szCs w:val="20"/>
              </w:rPr>
              <w:t xml:space="preserve"> DEER</w:t>
            </w:r>
          </w:p>
        </w:tc>
        <w:tc>
          <w:tcPr>
            <w:tcW w:w="0" w:type="auto"/>
            <w:shd w:val="pct5" w:color="000000" w:fill="FFFFFF"/>
          </w:tcPr>
          <w:p w:rsidR="0021242B" w:rsidRPr="0071575E" w:rsidRDefault="0021242B" w:rsidP="0021242B">
            <w:pPr>
              <w:rPr>
                <w:sz w:val="20"/>
                <w:szCs w:val="20"/>
              </w:rPr>
            </w:pPr>
            <w:r>
              <w:rPr>
                <w:sz w:val="20"/>
                <w:szCs w:val="20"/>
              </w:rPr>
              <w:t xml:space="preserve">EULID = </w:t>
            </w:r>
          </w:p>
          <w:p w:rsidR="0021242B" w:rsidRDefault="0021242B" w:rsidP="0021242B">
            <w:pPr>
              <w:rPr>
                <w:rFonts w:ascii="Calibri" w:hAnsi="Calibri" w:cs="Calibri"/>
                <w:color w:val="000000"/>
                <w:sz w:val="22"/>
                <w:szCs w:val="22"/>
              </w:rPr>
            </w:pPr>
            <w:r>
              <w:rPr>
                <w:rFonts w:ascii="Calibri" w:hAnsi="Calibri" w:cs="Calibri"/>
                <w:color w:val="000000"/>
                <w:sz w:val="22"/>
                <w:szCs w:val="22"/>
              </w:rPr>
              <w:t>Cook-ElecConvOven</w:t>
            </w:r>
          </w:p>
          <w:p w:rsidR="0021242B" w:rsidRDefault="0021242B" w:rsidP="0021242B">
            <w:pPr>
              <w:rPr>
                <w:sz w:val="20"/>
                <w:szCs w:val="20"/>
              </w:rPr>
            </w:pPr>
            <w:r w:rsidRPr="0071575E">
              <w:rPr>
                <w:sz w:val="20"/>
                <w:szCs w:val="20"/>
              </w:rPr>
              <w:t xml:space="preserve">12 years </w:t>
            </w:r>
            <w:r>
              <w:rPr>
                <w:sz w:val="20"/>
                <w:szCs w:val="20"/>
              </w:rPr>
              <w:t xml:space="preserve">– </w:t>
            </w:r>
          </w:p>
          <w:p w:rsidR="0021242B" w:rsidRPr="0071575E" w:rsidRDefault="0021242B" w:rsidP="006F389A">
            <w:pPr>
              <w:rPr>
                <w:sz w:val="20"/>
                <w:szCs w:val="20"/>
              </w:rPr>
            </w:pPr>
            <w:r w:rsidRPr="0071575E">
              <w:rPr>
                <w:sz w:val="20"/>
                <w:szCs w:val="20"/>
              </w:rPr>
              <w:t xml:space="preserve">Source: </w:t>
            </w:r>
            <w:r>
              <w:rPr>
                <w:sz w:val="20"/>
                <w:szCs w:val="20"/>
              </w:rPr>
              <w:t>201</w:t>
            </w:r>
            <w:r w:rsidR="006F389A">
              <w:rPr>
                <w:sz w:val="20"/>
                <w:szCs w:val="20"/>
              </w:rPr>
              <w:t>6</w:t>
            </w:r>
            <w:r>
              <w:rPr>
                <w:sz w:val="20"/>
                <w:szCs w:val="20"/>
              </w:rPr>
              <w:t xml:space="preserve"> DEER</w:t>
            </w:r>
          </w:p>
        </w:tc>
      </w:tr>
      <w:tr w:rsidR="0021242B" w:rsidTr="001C4039">
        <w:trPr>
          <w:trHeight w:val="465"/>
        </w:trPr>
        <w:tc>
          <w:tcPr>
            <w:tcW w:w="0" w:type="auto"/>
            <w:shd w:val="pct20" w:color="000000" w:fill="FFFFFF"/>
          </w:tcPr>
          <w:p w:rsidR="0021242B" w:rsidRDefault="0021242B" w:rsidP="001C4039">
            <w:pPr>
              <w:rPr>
                <w:b/>
              </w:rPr>
            </w:pPr>
            <w:r>
              <w:rPr>
                <w:b/>
              </w:rPr>
              <w:t>Program Type:</w:t>
            </w:r>
          </w:p>
        </w:tc>
        <w:tc>
          <w:tcPr>
            <w:tcW w:w="0" w:type="auto"/>
            <w:shd w:val="pct20" w:color="000000" w:fill="FFFFFF"/>
          </w:tcPr>
          <w:p w:rsidR="0021242B" w:rsidRDefault="0021242B" w:rsidP="001C4039">
            <w:pPr>
              <w:rPr>
                <w:sz w:val="20"/>
                <w:szCs w:val="20"/>
              </w:rPr>
            </w:pPr>
            <w:r>
              <w:rPr>
                <w:sz w:val="20"/>
                <w:szCs w:val="20"/>
              </w:rPr>
              <w:t xml:space="preserve">Replace on Burnout (ROB), </w:t>
            </w:r>
            <w:r w:rsidR="00F063A6">
              <w:rPr>
                <w:sz w:val="20"/>
                <w:szCs w:val="20"/>
              </w:rPr>
              <w:t>and New</w:t>
            </w:r>
            <w:r>
              <w:rPr>
                <w:sz w:val="20"/>
                <w:szCs w:val="20"/>
              </w:rPr>
              <w:t xml:space="preserve"> Construction (NC).</w:t>
            </w:r>
          </w:p>
        </w:tc>
        <w:tc>
          <w:tcPr>
            <w:tcW w:w="0" w:type="auto"/>
            <w:shd w:val="pct20" w:color="000000" w:fill="FFFFFF"/>
          </w:tcPr>
          <w:p w:rsidR="0021242B" w:rsidDel="00D36724" w:rsidRDefault="0021242B" w:rsidP="001C4039">
            <w:pPr>
              <w:rPr>
                <w:sz w:val="20"/>
                <w:szCs w:val="20"/>
              </w:rPr>
            </w:pPr>
            <w:r>
              <w:rPr>
                <w:sz w:val="20"/>
                <w:szCs w:val="20"/>
              </w:rPr>
              <w:t>Replace on Burnout (ROB), and New Construction (NC).</w:t>
            </w:r>
          </w:p>
        </w:tc>
        <w:tc>
          <w:tcPr>
            <w:tcW w:w="0" w:type="auto"/>
            <w:shd w:val="pct20" w:color="000000" w:fill="FFFFFF"/>
          </w:tcPr>
          <w:p w:rsidR="0021242B" w:rsidDel="00D36724" w:rsidRDefault="0021242B" w:rsidP="001C4039">
            <w:pPr>
              <w:rPr>
                <w:sz w:val="20"/>
                <w:szCs w:val="20"/>
              </w:rPr>
            </w:pPr>
            <w:r>
              <w:rPr>
                <w:sz w:val="20"/>
                <w:szCs w:val="20"/>
              </w:rPr>
              <w:t>Replace on Burnout (ROB), and New Construction (NC).</w:t>
            </w:r>
          </w:p>
        </w:tc>
      </w:tr>
      <w:tr w:rsidR="0021242B" w:rsidTr="001C4039">
        <w:trPr>
          <w:trHeight w:val="465"/>
        </w:trPr>
        <w:tc>
          <w:tcPr>
            <w:tcW w:w="0" w:type="auto"/>
            <w:shd w:val="pct5" w:color="000000" w:fill="FFFFFF"/>
          </w:tcPr>
          <w:p w:rsidR="0021242B" w:rsidRDefault="0021242B" w:rsidP="001C4039">
            <w:pPr>
              <w:rPr>
                <w:b/>
              </w:rPr>
            </w:pPr>
            <w:r>
              <w:rPr>
                <w:b/>
              </w:rPr>
              <w:t xml:space="preserve">Net-to-Gross Ratios: </w:t>
            </w:r>
          </w:p>
        </w:tc>
        <w:tc>
          <w:tcPr>
            <w:tcW w:w="0" w:type="auto"/>
            <w:shd w:val="pct5" w:color="000000" w:fill="FFFFFF"/>
          </w:tcPr>
          <w:p w:rsidR="0021242B" w:rsidRDefault="0021242B" w:rsidP="001C4039">
            <w:pPr>
              <w:rPr>
                <w:sz w:val="20"/>
                <w:szCs w:val="20"/>
              </w:rPr>
            </w:pPr>
            <w:r>
              <w:rPr>
                <w:sz w:val="20"/>
                <w:szCs w:val="20"/>
              </w:rPr>
              <w:t xml:space="preserve">Source: 2016 DEER  </w:t>
            </w:r>
          </w:p>
          <w:p w:rsidR="0021242B" w:rsidRDefault="0021242B" w:rsidP="001C4039">
            <w:pPr>
              <w:rPr>
                <w:sz w:val="20"/>
                <w:szCs w:val="20"/>
              </w:rPr>
            </w:pPr>
            <w:r>
              <w:rPr>
                <w:sz w:val="20"/>
                <w:szCs w:val="20"/>
              </w:rPr>
              <w:t xml:space="preserve">NTGID= </w:t>
            </w:r>
            <w:r w:rsidRPr="00B76B8C">
              <w:rPr>
                <w:sz w:val="20"/>
                <w:szCs w:val="20"/>
              </w:rPr>
              <w:t>Com-Default&gt;2yrs</w:t>
            </w:r>
          </w:p>
        </w:tc>
        <w:tc>
          <w:tcPr>
            <w:tcW w:w="0" w:type="auto"/>
            <w:shd w:val="pct5" w:color="000000" w:fill="FFFFFF"/>
          </w:tcPr>
          <w:p w:rsidR="0021242B" w:rsidRDefault="0021242B" w:rsidP="00D34112">
            <w:pPr>
              <w:rPr>
                <w:sz w:val="20"/>
                <w:szCs w:val="20"/>
              </w:rPr>
            </w:pPr>
            <w:r>
              <w:rPr>
                <w:sz w:val="20"/>
                <w:szCs w:val="20"/>
              </w:rPr>
              <w:t xml:space="preserve">Source: 2016 DEER NTGID= </w:t>
            </w:r>
            <w:r w:rsidR="00D34112" w:rsidRPr="00B76B8C">
              <w:rPr>
                <w:sz w:val="20"/>
                <w:szCs w:val="20"/>
              </w:rPr>
              <w:t>Com-Default&gt;2yrs</w:t>
            </w:r>
          </w:p>
        </w:tc>
        <w:tc>
          <w:tcPr>
            <w:tcW w:w="0" w:type="auto"/>
            <w:shd w:val="pct5" w:color="000000" w:fill="FFFFFF"/>
          </w:tcPr>
          <w:p w:rsidR="0021242B" w:rsidRDefault="0021242B" w:rsidP="00D34112">
            <w:pPr>
              <w:rPr>
                <w:sz w:val="20"/>
                <w:szCs w:val="20"/>
              </w:rPr>
            </w:pPr>
            <w:r>
              <w:rPr>
                <w:sz w:val="20"/>
                <w:szCs w:val="20"/>
              </w:rPr>
              <w:t>Source: 2016 DEER</w:t>
            </w:r>
            <w:r w:rsidR="00D34112">
              <w:rPr>
                <w:sz w:val="20"/>
                <w:szCs w:val="20"/>
              </w:rPr>
              <w:t xml:space="preserve"> </w:t>
            </w:r>
            <w:r>
              <w:rPr>
                <w:sz w:val="20"/>
                <w:szCs w:val="20"/>
              </w:rPr>
              <w:t xml:space="preserve">NTGID= </w:t>
            </w:r>
            <w:r w:rsidR="00D34112" w:rsidRPr="00B76B8C">
              <w:rPr>
                <w:sz w:val="20"/>
                <w:szCs w:val="20"/>
              </w:rPr>
              <w:t>Com-Default&gt;2yrs</w:t>
            </w:r>
          </w:p>
        </w:tc>
      </w:tr>
      <w:tr w:rsidR="008A0EA2" w:rsidTr="001C4039">
        <w:trPr>
          <w:trHeight w:val="465"/>
        </w:trPr>
        <w:tc>
          <w:tcPr>
            <w:tcW w:w="0" w:type="auto"/>
            <w:shd w:val="pct20" w:color="000000" w:fill="FFFFFF"/>
          </w:tcPr>
          <w:p w:rsidR="008A0EA2" w:rsidRDefault="008A0EA2" w:rsidP="001C4039">
            <w:pPr>
              <w:rPr>
                <w:b/>
              </w:rPr>
            </w:pPr>
            <w:r>
              <w:rPr>
                <w:b/>
              </w:rPr>
              <w:t>Comments:</w:t>
            </w:r>
          </w:p>
        </w:tc>
        <w:tc>
          <w:tcPr>
            <w:tcW w:w="0" w:type="auto"/>
            <w:shd w:val="pct20" w:color="000000" w:fill="FFFFFF"/>
          </w:tcPr>
          <w:p w:rsidR="008A0EA2" w:rsidDel="00DC76F6" w:rsidRDefault="008A0EA2" w:rsidP="001C4039">
            <w:pPr>
              <w:rPr>
                <w:sz w:val="20"/>
                <w:szCs w:val="20"/>
              </w:rPr>
            </w:pPr>
            <w:r>
              <w:rPr>
                <w:sz w:val="20"/>
                <w:szCs w:val="20"/>
              </w:rPr>
              <w:t>This measure level created for SCE</w:t>
            </w:r>
          </w:p>
        </w:tc>
        <w:tc>
          <w:tcPr>
            <w:tcW w:w="0" w:type="auto"/>
            <w:shd w:val="pct20" w:color="000000" w:fill="FFFFFF"/>
          </w:tcPr>
          <w:p w:rsidR="008A0EA2" w:rsidRDefault="008A0EA2" w:rsidP="001C4039">
            <w:pPr>
              <w:rPr>
                <w:sz w:val="20"/>
                <w:szCs w:val="20"/>
              </w:rPr>
            </w:pPr>
          </w:p>
        </w:tc>
        <w:tc>
          <w:tcPr>
            <w:tcW w:w="0" w:type="auto"/>
            <w:shd w:val="pct20" w:color="000000" w:fill="FFFFFF"/>
          </w:tcPr>
          <w:p w:rsidR="008A0EA2" w:rsidDel="00DC76F6" w:rsidRDefault="008A0EA2" w:rsidP="001C4039">
            <w:pPr>
              <w:rPr>
                <w:sz w:val="20"/>
                <w:szCs w:val="20"/>
              </w:rPr>
            </w:pPr>
            <w:r>
              <w:rPr>
                <w:sz w:val="20"/>
                <w:szCs w:val="20"/>
              </w:rPr>
              <w:t>This measure level created for SCE</w:t>
            </w:r>
          </w:p>
        </w:tc>
      </w:tr>
    </w:tbl>
    <w:p w:rsidR="0021242B" w:rsidRPr="0021242B" w:rsidRDefault="0021242B" w:rsidP="0021242B">
      <w:pPr>
        <w:pStyle w:val="Heading1"/>
        <w:rPr>
          <w:lang w:val="en-US"/>
        </w:rPr>
      </w:pPr>
      <w:bookmarkStart w:id="7" w:name="_Toc458439229"/>
      <w:r>
        <w:lastRenderedPageBreak/>
        <w:t>At a Glance Summary</w:t>
      </w:r>
      <w:r>
        <w:rPr>
          <w:lang w:val="en-US"/>
        </w:rPr>
        <w:t xml:space="preserve"> – Gas Convection Ovens</w:t>
      </w:r>
      <w:bookmarkEnd w:id="7"/>
    </w:p>
    <w:tbl>
      <w:tblPr>
        <w:tblW w:w="0" w:type="auto"/>
        <w:tblBorders>
          <w:insideH w:val="single" w:sz="18" w:space="0" w:color="FFFFFF"/>
          <w:insideV w:val="single" w:sz="18" w:space="0" w:color="FFFFFF"/>
        </w:tblBorders>
        <w:tblLook w:val="01E0" w:firstRow="1" w:lastRow="1" w:firstColumn="1" w:lastColumn="1" w:noHBand="0" w:noVBand="0"/>
      </w:tblPr>
      <w:tblGrid>
        <w:gridCol w:w="2382"/>
        <w:gridCol w:w="2398"/>
        <w:gridCol w:w="2398"/>
        <w:gridCol w:w="2398"/>
      </w:tblGrid>
      <w:tr w:rsidR="008A0EA2" w:rsidTr="001C4039">
        <w:trPr>
          <w:trHeight w:val="465"/>
        </w:trPr>
        <w:tc>
          <w:tcPr>
            <w:tcW w:w="0" w:type="auto"/>
            <w:shd w:val="pct20" w:color="000000" w:fill="FFFFFF"/>
          </w:tcPr>
          <w:p w:rsidR="008A0EA2" w:rsidRPr="00F1064A" w:rsidRDefault="008A0EA2" w:rsidP="001C4039">
            <w:pPr>
              <w:rPr>
                <w:b/>
              </w:rPr>
            </w:pPr>
            <w:r w:rsidRPr="00F1064A">
              <w:rPr>
                <w:b/>
              </w:rPr>
              <w:t>Applicable Measure Codes:</w:t>
            </w:r>
          </w:p>
        </w:tc>
        <w:tc>
          <w:tcPr>
            <w:tcW w:w="0" w:type="auto"/>
            <w:shd w:val="pct20" w:color="000000" w:fill="FFFFFF"/>
          </w:tcPr>
          <w:p w:rsidR="008A0EA2" w:rsidRDefault="008A0EA2" w:rsidP="001C4039">
            <w:pPr>
              <w:rPr>
                <w:b/>
                <w:sz w:val="20"/>
                <w:szCs w:val="20"/>
              </w:rPr>
            </w:pPr>
          </w:p>
        </w:tc>
        <w:tc>
          <w:tcPr>
            <w:tcW w:w="0" w:type="auto"/>
            <w:shd w:val="pct20" w:color="000000" w:fill="FFFFFF"/>
          </w:tcPr>
          <w:p w:rsidR="008A0EA2" w:rsidRDefault="008A0EA2" w:rsidP="001C4039">
            <w:pPr>
              <w:rPr>
                <w:b/>
                <w:sz w:val="20"/>
                <w:szCs w:val="20"/>
              </w:rPr>
            </w:pPr>
            <w:r>
              <w:rPr>
                <w:b/>
                <w:sz w:val="20"/>
                <w:szCs w:val="20"/>
              </w:rPr>
              <w:t>F188</w:t>
            </w:r>
          </w:p>
        </w:tc>
        <w:tc>
          <w:tcPr>
            <w:tcW w:w="0" w:type="auto"/>
            <w:shd w:val="pct20" w:color="000000" w:fill="FFFFFF"/>
          </w:tcPr>
          <w:p w:rsidR="008A0EA2" w:rsidRDefault="008A0EA2" w:rsidP="001C4039">
            <w:pPr>
              <w:rPr>
                <w:b/>
                <w:sz w:val="20"/>
                <w:szCs w:val="20"/>
              </w:rPr>
            </w:pPr>
          </w:p>
        </w:tc>
      </w:tr>
      <w:tr w:rsidR="008A0EA2" w:rsidTr="001C4039">
        <w:trPr>
          <w:trHeight w:val="465"/>
        </w:trPr>
        <w:tc>
          <w:tcPr>
            <w:tcW w:w="0" w:type="auto"/>
            <w:shd w:val="pct5" w:color="000000" w:fill="FFFFFF"/>
          </w:tcPr>
          <w:p w:rsidR="008A0EA2" w:rsidRDefault="008A0EA2" w:rsidP="001C4039">
            <w:pPr>
              <w:rPr>
                <w:b/>
              </w:rPr>
            </w:pPr>
            <w:r>
              <w:rPr>
                <w:b/>
              </w:rPr>
              <w:t xml:space="preserve">Measure Description: </w:t>
            </w:r>
          </w:p>
        </w:tc>
        <w:tc>
          <w:tcPr>
            <w:tcW w:w="0" w:type="auto"/>
            <w:shd w:val="pct5" w:color="000000" w:fill="FFFFFF"/>
          </w:tcPr>
          <w:p w:rsidR="008A0EA2" w:rsidRDefault="008A0EA2" w:rsidP="001C4039">
            <w:pPr>
              <w:rPr>
                <w:sz w:val="20"/>
                <w:szCs w:val="20"/>
              </w:rPr>
            </w:pPr>
            <w:r>
              <w:rPr>
                <w:sz w:val="20"/>
                <w:szCs w:val="20"/>
              </w:rPr>
              <w:t>Commercial Half-Size Convection Oven (Gas)</w:t>
            </w:r>
          </w:p>
        </w:tc>
        <w:tc>
          <w:tcPr>
            <w:tcW w:w="0" w:type="auto"/>
            <w:shd w:val="pct5" w:color="000000" w:fill="FFFFFF"/>
          </w:tcPr>
          <w:p w:rsidR="008A0EA2" w:rsidRDefault="008A0EA2" w:rsidP="001C4039">
            <w:pPr>
              <w:rPr>
                <w:sz w:val="20"/>
                <w:szCs w:val="20"/>
              </w:rPr>
            </w:pPr>
            <w:r>
              <w:rPr>
                <w:sz w:val="20"/>
                <w:szCs w:val="20"/>
              </w:rPr>
              <w:t>Commercial Full-Size Convection Oven (Gas)</w:t>
            </w:r>
          </w:p>
        </w:tc>
        <w:tc>
          <w:tcPr>
            <w:tcW w:w="0" w:type="auto"/>
            <w:shd w:val="pct5" w:color="000000" w:fill="FFFFFF"/>
          </w:tcPr>
          <w:p w:rsidR="008A0EA2" w:rsidRDefault="008A0EA2" w:rsidP="001C4039">
            <w:pPr>
              <w:rPr>
                <w:sz w:val="20"/>
                <w:szCs w:val="20"/>
              </w:rPr>
            </w:pPr>
            <w:r>
              <w:rPr>
                <w:sz w:val="20"/>
                <w:szCs w:val="20"/>
              </w:rPr>
              <w:t>Commercial Large Full-Size Convection Oven (Gas)</w:t>
            </w:r>
          </w:p>
        </w:tc>
      </w:tr>
      <w:tr w:rsidR="008A0EA2" w:rsidTr="001C4039">
        <w:trPr>
          <w:trHeight w:val="465"/>
        </w:trPr>
        <w:tc>
          <w:tcPr>
            <w:tcW w:w="0" w:type="auto"/>
            <w:shd w:val="pct20" w:color="000000" w:fill="FFFFFF"/>
          </w:tcPr>
          <w:p w:rsidR="008A0EA2" w:rsidRDefault="008A0EA2" w:rsidP="001C4039">
            <w:pPr>
              <w:rPr>
                <w:b/>
              </w:rPr>
            </w:pPr>
            <w:r>
              <w:rPr>
                <w:b/>
              </w:rPr>
              <w:t xml:space="preserve">Energy Impact Common Units: </w:t>
            </w:r>
          </w:p>
        </w:tc>
        <w:tc>
          <w:tcPr>
            <w:tcW w:w="0" w:type="auto"/>
            <w:shd w:val="pct20" w:color="000000" w:fill="FFFFFF"/>
          </w:tcPr>
          <w:p w:rsidR="008A0EA2" w:rsidRDefault="008A0EA2" w:rsidP="001C4039">
            <w:pPr>
              <w:rPr>
                <w:sz w:val="20"/>
                <w:szCs w:val="20"/>
              </w:rPr>
            </w:pPr>
            <w:r>
              <w:rPr>
                <w:sz w:val="20"/>
                <w:szCs w:val="20"/>
              </w:rPr>
              <w:t>Convection Oven</w:t>
            </w:r>
            <w:r w:rsidR="00512D9B">
              <w:rPr>
                <w:sz w:val="20"/>
                <w:szCs w:val="20"/>
              </w:rPr>
              <w:t>, Each</w:t>
            </w:r>
            <w:r>
              <w:rPr>
                <w:sz w:val="20"/>
                <w:szCs w:val="20"/>
              </w:rPr>
              <w:t xml:space="preserve"> </w:t>
            </w:r>
          </w:p>
        </w:tc>
        <w:tc>
          <w:tcPr>
            <w:tcW w:w="0" w:type="auto"/>
            <w:shd w:val="pct20" w:color="000000" w:fill="FFFFFF"/>
          </w:tcPr>
          <w:p w:rsidR="008A0EA2" w:rsidRDefault="008A0EA2" w:rsidP="001C4039">
            <w:pPr>
              <w:rPr>
                <w:sz w:val="20"/>
                <w:szCs w:val="20"/>
              </w:rPr>
            </w:pPr>
            <w:r>
              <w:rPr>
                <w:sz w:val="20"/>
                <w:szCs w:val="20"/>
              </w:rPr>
              <w:t>Convection Oven</w:t>
            </w:r>
            <w:r w:rsidR="00512D9B">
              <w:rPr>
                <w:sz w:val="20"/>
                <w:szCs w:val="20"/>
              </w:rPr>
              <w:t>, Each</w:t>
            </w:r>
            <w:r>
              <w:rPr>
                <w:sz w:val="20"/>
                <w:szCs w:val="20"/>
              </w:rPr>
              <w:t xml:space="preserve"> </w:t>
            </w:r>
          </w:p>
        </w:tc>
        <w:tc>
          <w:tcPr>
            <w:tcW w:w="0" w:type="auto"/>
            <w:shd w:val="pct20" w:color="000000" w:fill="FFFFFF"/>
          </w:tcPr>
          <w:p w:rsidR="008A0EA2" w:rsidRDefault="008A0EA2" w:rsidP="001C4039">
            <w:pPr>
              <w:rPr>
                <w:sz w:val="20"/>
                <w:szCs w:val="20"/>
              </w:rPr>
            </w:pPr>
            <w:r>
              <w:rPr>
                <w:sz w:val="20"/>
                <w:szCs w:val="20"/>
              </w:rPr>
              <w:t>Convection Oven</w:t>
            </w:r>
            <w:r w:rsidR="00512D9B">
              <w:rPr>
                <w:sz w:val="20"/>
                <w:szCs w:val="20"/>
              </w:rPr>
              <w:t>, Each</w:t>
            </w:r>
            <w:r>
              <w:rPr>
                <w:sz w:val="20"/>
                <w:szCs w:val="20"/>
              </w:rPr>
              <w:t xml:space="preserve"> </w:t>
            </w:r>
          </w:p>
        </w:tc>
      </w:tr>
      <w:tr w:rsidR="008A0EA2" w:rsidTr="001C4039">
        <w:trPr>
          <w:trHeight w:val="465"/>
        </w:trPr>
        <w:tc>
          <w:tcPr>
            <w:tcW w:w="0" w:type="auto"/>
            <w:shd w:val="pct5" w:color="000000" w:fill="FFFFFF"/>
          </w:tcPr>
          <w:p w:rsidR="008A0EA2" w:rsidRDefault="008A0EA2" w:rsidP="001C4039">
            <w:pPr>
              <w:rPr>
                <w:b/>
              </w:rPr>
            </w:pPr>
            <w:r>
              <w:rPr>
                <w:b/>
              </w:rPr>
              <w:t>Base Case Description:</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Existing Half-Size Gas Convection Oven</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Existing Full-Size Gas Convection Oven</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Existing Large Full-Size Gas Convection Oven</w:t>
            </w:r>
          </w:p>
        </w:tc>
      </w:tr>
      <w:tr w:rsidR="008A0EA2" w:rsidTr="001C4039">
        <w:trPr>
          <w:trHeight w:val="465"/>
        </w:trPr>
        <w:tc>
          <w:tcPr>
            <w:tcW w:w="0" w:type="auto"/>
            <w:shd w:val="pct20" w:color="000000" w:fill="FFFFFF"/>
          </w:tcPr>
          <w:p w:rsidR="008A0EA2" w:rsidRDefault="008A0EA2" w:rsidP="001C4039">
            <w:pPr>
              <w:rPr>
                <w:b/>
              </w:rPr>
            </w:pPr>
            <w:r>
              <w:rPr>
                <w:b/>
              </w:rPr>
              <w:t xml:space="preserve">Base Case Energy Consumption: </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769 Therms/yr</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1,052 Therms/yr</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1,205 Therms/yr</w:t>
            </w:r>
          </w:p>
        </w:tc>
      </w:tr>
      <w:tr w:rsidR="008A0EA2" w:rsidTr="001C4039">
        <w:trPr>
          <w:trHeight w:val="465"/>
        </w:trPr>
        <w:tc>
          <w:tcPr>
            <w:tcW w:w="0" w:type="auto"/>
            <w:shd w:val="pct5" w:color="000000" w:fill="FFFFFF"/>
          </w:tcPr>
          <w:p w:rsidR="008A0EA2" w:rsidRDefault="008A0EA2" w:rsidP="001C4039">
            <w:pPr>
              <w:rPr>
                <w:b/>
              </w:rPr>
            </w:pPr>
            <w:r>
              <w:rPr>
                <w:b/>
              </w:rPr>
              <w:t>Measure Energy Consumption:</w:t>
            </w:r>
          </w:p>
        </w:tc>
        <w:tc>
          <w:tcPr>
            <w:tcW w:w="0" w:type="auto"/>
            <w:shd w:val="pct5" w:color="000000" w:fill="FFFFFF"/>
          </w:tcPr>
          <w:p w:rsidR="008A0EA2" w:rsidRPr="00C5389C" w:rsidRDefault="008A0EA2" w:rsidP="00C5389C">
            <w:pPr>
              <w:rPr>
                <w:sz w:val="20"/>
                <w:szCs w:val="20"/>
                <w:highlight w:val="yellow"/>
              </w:rPr>
            </w:pPr>
            <w:r w:rsidRPr="002714B3">
              <w:rPr>
                <w:sz w:val="20"/>
                <w:szCs w:val="20"/>
              </w:rPr>
              <w:t>Source: PG&amp;E Calculations</w:t>
            </w:r>
            <w:r w:rsidRPr="002714B3">
              <w:rPr>
                <w:sz w:val="20"/>
                <w:szCs w:val="20"/>
              </w:rPr>
              <w:br/>
              <w:t>5</w:t>
            </w:r>
            <w:r w:rsidR="00C5389C" w:rsidRPr="002714B3">
              <w:rPr>
                <w:sz w:val="20"/>
                <w:szCs w:val="20"/>
              </w:rPr>
              <w:t>38</w:t>
            </w:r>
            <w:r w:rsidRPr="002714B3">
              <w:rPr>
                <w:sz w:val="20"/>
                <w:szCs w:val="20"/>
              </w:rPr>
              <w:t xml:space="preserve"> Therms/yr</w:t>
            </w:r>
          </w:p>
        </w:tc>
        <w:tc>
          <w:tcPr>
            <w:tcW w:w="0" w:type="auto"/>
            <w:shd w:val="pct5" w:color="000000" w:fill="FFFFFF"/>
          </w:tcPr>
          <w:p w:rsidR="008A0EA2" w:rsidRPr="002714B3" w:rsidRDefault="008A0EA2" w:rsidP="00FB3B43">
            <w:pPr>
              <w:rPr>
                <w:sz w:val="20"/>
                <w:szCs w:val="20"/>
              </w:rPr>
            </w:pPr>
            <w:r w:rsidRPr="002714B3">
              <w:rPr>
                <w:sz w:val="20"/>
                <w:szCs w:val="20"/>
              </w:rPr>
              <w:t>Source: PG&amp;E Calculations</w:t>
            </w:r>
            <w:r w:rsidRPr="002714B3">
              <w:rPr>
                <w:sz w:val="20"/>
                <w:szCs w:val="20"/>
              </w:rPr>
              <w:br/>
            </w:r>
            <w:r w:rsidR="00C5389C" w:rsidRPr="002714B3">
              <w:rPr>
                <w:sz w:val="20"/>
                <w:szCs w:val="20"/>
              </w:rPr>
              <w:t>695</w:t>
            </w:r>
            <w:r w:rsidRPr="002714B3">
              <w:rPr>
                <w:sz w:val="20"/>
                <w:szCs w:val="20"/>
              </w:rPr>
              <w:t xml:space="preserve"> Therms/yr</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749 Therms/yr</w:t>
            </w:r>
          </w:p>
        </w:tc>
      </w:tr>
      <w:tr w:rsidR="008A0EA2" w:rsidTr="001C4039">
        <w:trPr>
          <w:trHeight w:val="465"/>
        </w:trPr>
        <w:tc>
          <w:tcPr>
            <w:tcW w:w="0" w:type="auto"/>
            <w:shd w:val="pct20" w:color="000000" w:fill="FFFFFF"/>
          </w:tcPr>
          <w:p w:rsidR="008A0EA2" w:rsidRDefault="008A0EA2" w:rsidP="001C4039">
            <w:pPr>
              <w:rPr>
                <w:b/>
              </w:rPr>
            </w:pPr>
            <w:r>
              <w:rPr>
                <w:b/>
              </w:rPr>
              <w:t>Energy Savings (Base Case – Measure)</w:t>
            </w:r>
          </w:p>
        </w:tc>
        <w:tc>
          <w:tcPr>
            <w:tcW w:w="0" w:type="auto"/>
            <w:shd w:val="pct20" w:color="000000" w:fill="FFFFFF"/>
          </w:tcPr>
          <w:p w:rsidR="00C5389C" w:rsidRDefault="00C5389C" w:rsidP="001C4039">
            <w:pPr>
              <w:rPr>
                <w:sz w:val="20"/>
                <w:szCs w:val="20"/>
              </w:rPr>
            </w:pPr>
            <w:r>
              <w:rPr>
                <w:sz w:val="20"/>
                <w:szCs w:val="20"/>
              </w:rPr>
              <w:t xml:space="preserve">Source: PG&amp;E Calculations </w:t>
            </w:r>
            <w:r w:rsidRPr="002714B3">
              <w:rPr>
                <w:sz w:val="20"/>
                <w:szCs w:val="20"/>
              </w:rPr>
              <w:t>231</w:t>
            </w:r>
            <w:r w:rsidR="00946033">
              <w:rPr>
                <w:sz w:val="20"/>
                <w:szCs w:val="20"/>
              </w:rPr>
              <w:t>*0.7=</w:t>
            </w:r>
            <w:r w:rsidR="00946033" w:rsidRPr="00946033">
              <w:rPr>
                <w:b/>
                <w:sz w:val="20"/>
                <w:szCs w:val="20"/>
              </w:rPr>
              <w:t>162</w:t>
            </w:r>
          </w:p>
          <w:p w:rsidR="008A0EA2" w:rsidRDefault="008A0EA2" w:rsidP="001C4039">
            <w:pPr>
              <w:rPr>
                <w:sz w:val="20"/>
                <w:szCs w:val="20"/>
              </w:rPr>
            </w:pPr>
            <w:r>
              <w:rPr>
                <w:sz w:val="20"/>
                <w:szCs w:val="20"/>
              </w:rPr>
              <w:t>Therms/yr</w:t>
            </w:r>
          </w:p>
        </w:tc>
        <w:tc>
          <w:tcPr>
            <w:tcW w:w="0" w:type="auto"/>
            <w:shd w:val="pct20" w:color="000000" w:fill="FFFFFF"/>
          </w:tcPr>
          <w:p w:rsidR="008A0EA2" w:rsidRPr="002714B3" w:rsidRDefault="008A0EA2" w:rsidP="001C4523">
            <w:pPr>
              <w:rPr>
                <w:sz w:val="20"/>
                <w:szCs w:val="20"/>
              </w:rPr>
            </w:pPr>
            <w:r w:rsidRPr="002714B3">
              <w:rPr>
                <w:sz w:val="20"/>
                <w:szCs w:val="20"/>
              </w:rPr>
              <w:t xml:space="preserve">Source: PG&amp;E Calculations </w:t>
            </w:r>
            <w:r w:rsidR="00C5389C" w:rsidRPr="002714B3">
              <w:rPr>
                <w:sz w:val="20"/>
                <w:szCs w:val="20"/>
              </w:rPr>
              <w:t>357</w:t>
            </w:r>
            <w:r w:rsidRPr="002714B3">
              <w:rPr>
                <w:sz w:val="20"/>
                <w:szCs w:val="20"/>
              </w:rPr>
              <w:t xml:space="preserve"> </w:t>
            </w:r>
            <w:r w:rsidR="00946033">
              <w:rPr>
                <w:sz w:val="20"/>
                <w:szCs w:val="20"/>
              </w:rPr>
              <w:t>*0.7=</w:t>
            </w:r>
            <w:r w:rsidR="00946033" w:rsidRPr="00946033">
              <w:rPr>
                <w:b/>
                <w:sz w:val="20"/>
                <w:szCs w:val="20"/>
              </w:rPr>
              <w:t>250</w:t>
            </w:r>
            <w:r w:rsidR="00946033">
              <w:rPr>
                <w:sz w:val="20"/>
                <w:szCs w:val="20"/>
              </w:rPr>
              <w:t xml:space="preserve"> </w:t>
            </w:r>
            <w:r w:rsidRPr="002714B3">
              <w:rPr>
                <w:sz w:val="20"/>
                <w:szCs w:val="20"/>
              </w:rPr>
              <w:t>Therms/yr</w:t>
            </w:r>
          </w:p>
        </w:tc>
        <w:tc>
          <w:tcPr>
            <w:tcW w:w="0" w:type="auto"/>
            <w:shd w:val="pct20" w:color="000000" w:fill="FFFFFF"/>
          </w:tcPr>
          <w:p w:rsidR="008A0EA2" w:rsidRDefault="008A0EA2" w:rsidP="001C4039">
            <w:pPr>
              <w:rPr>
                <w:sz w:val="20"/>
                <w:szCs w:val="20"/>
              </w:rPr>
            </w:pPr>
            <w:r>
              <w:rPr>
                <w:sz w:val="20"/>
                <w:szCs w:val="20"/>
              </w:rPr>
              <w:t xml:space="preserve">Source: PG&amp;E Calculations 456 </w:t>
            </w:r>
            <w:r w:rsidR="00946033">
              <w:rPr>
                <w:sz w:val="20"/>
                <w:szCs w:val="20"/>
              </w:rPr>
              <w:t>*0.7=</w:t>
            </w:r>
            <w:r w:rsidR="00946033" w:rsidRPr="00946033">
              <w:rPr>
                <w:b/>
                <w:sz w:val="20"/>
                <w:szCs w:val="20"/>
              </w:rPr>
              <w:t>319</w:t>
            </w:r>
            <w:r w:rsidR="00946033">
              <w:rPr>
                <w:sz w:val="20"/>
                <w:szCs w:val="20"/>
              </w:rPr>
              <w:t xml:space="preserve"> </w:t>
            </w:r>
            <w:r>
              <w:rPr>
                <w:sz w:val="20"/>
                <w:szCs w:val="20"/>
              </w:rPr>
              <w:t>Therms/yr</w:t>
            </w:r>
          </w:p>
        </w:tc>
      </w:tr>
      <w:tr w:rsidR="008A0EA2" w:rsidTr="001C4039">
        <w:trPr>
          <w:trHeight w:val="465"/>
        </w:trPr>
        <w:tc>
          <w:tcPr>
            <w:tcW w:w="0" w:type="auto"/>
            <w:shd w:val="pct5" w:color="000000" w:fill="FFFFFF"/>
          </w:tcPr>
          <w:p w:rsidR="008A0EA2" w:rsidRDefault="008A0EA2" w:rsidP="001C4039">
            <w:pPr>
              <w:rPr>
                <w:b/>
              </w:rPr>
            </w:pPr>
            <w:r>
              <w:rPr>
                <w:b/>
              </w:rPr>
              <w:t xml:space="preserve">Costs Common Units: </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 xml:space="preserve">Convection Oven </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 xml:space="preserve">Convection Oven </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 xml:space="preserve">Convection Oven </w:t>
            </w:r>
          </w:p>
        </w:tc>
      </w:tr>
      <w:tr w:rsidR="008A0EA2" w:rsidTr="001C4039">
        <w:trPr>
          <w:trHeight w:val="465"/>
        </w:trPr>
        <w:tc>
          <w:tcPr>
            <w:tcW w:w="0" w:type="auto"/>
            <w:shd w:val="pct20" w:color="000000" w:fill="FFFFFF"/>
          </w:tcPr>
          <w:p w:rsidR="008A0EA2" w:rsidRDefault="008A0EA2" w:rsidP="001C4039">
            <w:pPr>
              <w:rPr>
                <w:b/>
              </w:rPr>
            </w:pPr>
            <w:r>
              <w:rPr>
                <w:b/>
              </w:rPr>
              <w:t>Base Case Equipment Cost ($/unit):</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$3,614</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$4,349</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$N/A</w:t>
            </w:r>
          </w:p>
        </w:tc>
      </w:tr>
      <w:tr w:rsidR="008A0EA2" w:rsidTr="001C4039">
        <w:trPr>
          <w:trHeight w:val="465"/>
        </w:trPr>
        <w:tc>
          <w:tcPr>
            <w:tcW w:w="0" w:type="auto"/>
            <w:shd w:val="pct5" w:color="000000" w:fill="FFFFFF"/>
          </w:tcPr>
          <w:p w:rsidR="008A0EA2" w:rsidRDefault="008A0EA2" w:rsidP="001C4039">
            <w:pPr>
              <w:rPr>
                <w:b/>
              </w:rPr>
            </w:pPr>
            <w:r>
              <w:rPr>
                <w:b/>
              </w:rPr>
              <w:t xml:space="preserve">Measure Equipment Cost ($/unit): </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$4,104</w:t>
            </w:r>
          </w:p>
        </w:tc>
        <w:tc>
          <w:tcPr>
            <w:tcW w:w="0" w:type="auto"/>
            <w:shd w:val="pct5" w:color="000000" w:fill="FFFFFF"/>
          </w:tcPr>
          <w:p w:rsidR="008A0EA2" w:rsidRPr="00AF5B63" w:rsidRDefault="008A0EA2" w:rsidP="00AF5B63">
            <w:pPr>
              <w:rPr>
                <w:sz w:val="20"/>
                <w:szCs w:val="20"/>
              </w:rPr>
            </w:pPr>
            <w:r w:rsidRPr="00AF5B63">
              <w:rPr>
                <w:sz w:val="20"/>
                <w:szCs w:val="20"/>
              </w:rPr>
              <w:t>Source: PG&amp;E Calculations</w:t>
            </w:r>
            <w:r w:rsidRPr="00AF5B63">
              <w:rPr>
                <w:sz w:val="20"/>
                <w:szCs w:val="20"/>
              </w:rPr>
              <w:br/>
              <w:t>$5,</w:t>
            </w:r>
            <w:r w:rsidR="00AF5B63" w:rsidRPr="00AF5B63">
              <w:rPr>
                <w:sz w:val="20"/>
                <w:szCs w:val="20"/>
              </w:rPr>
              <w:t>635</w:t>
            </w:r>
          </w:p>
        </w:tc>
        <w:tc>
          <w:tcPr>
            <w:tcW w:w="0" w:type="auto"/>
            <w:shd w:val="pct5" w:color="000000" w:fill="FFFFFF"/>
          </w:tcPr>
          <w:p w:rsidR="008A0EA2" w:rsidRDefault="008A0EA2" w:rsidP="001C4039">
            <w:pPr>
              <w:rPr>
                <w:sz w:val="20"/>
                <w:szCs w:val="20"/>
              </w:rPr>
            </w:pPr>
            <w:r>
              <w:rPr>
                <w:sz w:val="20"/>
                <w:szCs w:val="20"/>
              </w:rPr>
              <w:t>Source: PG&amp;E Calculations</w:t>
            </w:r>
            <w:r>
              <w:rPr>
                <w:sz w:val="20"/>
                <w:szCs w:val="20"/>
              </w:rPr>
              <w:br/>
              <w:t>$N/A</w:t>
            </w:r>
          </w:p>
        </w:tc>
      </w:tr>
      <w:tr w:rsidR="008A0EA2" w:rsidTr="001C4039">
        <w:trPr>
          <w:trHeight w:val="465"/>
        </w:trPr>
        <w:tc>
          <w:tcPr>
            <w:tcW w:w="0" w:type="auto"/>
            <w:shd w:val="pct20" w:color="000000" w:fill="FFFFFF"/>
          </w:tcPr>
          <w:p w:rsidR="008A0EA2" w:rsidRDefault="008A0EA2" w:rsidP="001C4039">
            <w:pPr>
              <w:rPr>
                <w:b/>
              </w:rPr>
            </w:pPr>
            <w:r>
              <w:rPr>
                <w:b/>
              </w:rPr>
              <w:t xml:space="preserve">Measure Incremental Cost ($/unit): </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$490</w:t>
            </w:r>
          </w:p>
        </w:tc>
        <w:tc>
          <w:tcPr>
            <w:tcW w:w="0" w:type="auto"/>
            <w:shd w:val="pct20" w:color="000000" w:fill="FFFFFF"/>
          </w:tcPr>
          <w:p w:rsidR="008A0EA2" w:rsidRPr="00AF5B63" w:rsidRDefault="008A0EA2" w:rsidP="00AF5B63">
            <w:pPr>
              <w:rPr>
                <w:sz w:val="20"/>
                <w:szCs w:val="20"/>
              </w:rPr>
            </w:pPr>
            <w:r w:rsidRPr="00AF5B63">
              <w:rPr>
                <w:sz w:val="20"/>
                <w:szCs w:val="20"/>
              </w:rPr>
              <w:t>Source: PG&amp;E Calculations</w:t>
            </w:r>
            <w:r w:rsidRPr="00AF5B63">
              <w:rPr>
                <w:sz w:val="20"/>
                <w:szCs w:val="20"/>
              </w:rPr>
              <w:br/>
              <w:t>$1,</w:t>
            </w:r>
            <w:r w:rsidR="00AF5B63" w:rsidRPr="00AF5B63">
              <w:rPr>
                <w:sz w:val="20"/>
                <w:szCs w:val="20"/>
              </w:rPr>
              <w:t>286</w:t>
            </w:r>
          </w:p>
        </w:tc>
        <w:tc>
          <w:tcPr>
            <w:tcW w:w="0" w:type="auto"/>
            <w:shd w:val="pct20" w:color="000000" w:fill="FFFFFF"/>
          </w:tcPr>
          <w:p w:rsidR="008A0EA2" w:rsidRDefault="008A0EA2" w:rsidP="001C4039">
            <w:pPr>
              <w:rPr>
                <w:sz w:val="20"/>
                <w:szCs w:val="20"/>
              </w:rPr>
            </w:pPr>
            <w:r>
              <w:rPr>
                <w:sz w:val="20"/>
                <w:szCs w:val="20"/>
              </w:rPr>
              <w:t>Source: PG&amp;E Calculations</w:t>
            </w:r>
            <w:r>
              <w:rPr>
                <w:sz w:val="20"/>
                <w:szCs w:val="20"/>
              </w:rPr>
              <w:br/>
              <w:t>$N/A</w:t>
            </w:r>
          </w:p>
        </w:tc>
      </w:tr>
      <w:tr w:rsidR="0021242B" w:rsidTr="001C4039">
        <w:trPr>
          <w:trHeight w:val="465"/>
        </w:trPr>
        <w:tc>
          <w:tcPr>
            <w:tcW w:w="0" w:type="auto"/>
            <w:shd w:val="pct5" w:color="000000" w:fill="FFFFFF"/>
          </w:tcPr>
          <w:p w:rsidR="0021242B" w:rsidRPr="00CB3624" w:rsidRDefault="0021242B" w:rsidP="001C4039">
            <w:pPr>
              <w:rPr>
                <w:b/>
                <w:highlight w:val="red"/>
              </w:rPr>
            </w:pPr>
            <w:r w:rsidRPr="009B4A8F">
              <w:rPr>
                <w:b/>
              </w:rPr>
              <w:t xml:space="preserve">Effective Useful Life (years): </w:t>
            </w:r>
          </w:p>
        </w:tc>
        <w:tc>
          <w:tcPr>
            <w:tcW w:w="0" w:type="auto"/>
            <w:shd w:val="pct5" w:color="000000" w:fill="FFFFFF"/>
          </w:tcPr>
          <w:p w:rsidR="0021242B" w:rsidRPr="0071575E" w:rsidRDefault="0021242B" w:rsidP="001C4039">
            <w:pPr>
              <w:rPr>
                <w:sz w:val="20"/>
                <w:szCs w:val="20"/>
              </w:rPr>
            </w:pPr>
            <w:r>
              <w:rPr>
                <w:sz w:val="20"/>
                <w:szCs w:val="20"/>
              </w:rPr>
              <w:t xml:space="preserve">EULID = </w:t>
            </w:r>
          </w:p>
          <w:p w:rsidR="0021242B" w:rsidRDefault="0021242B" w:rsidP="001C4039">
            <w:pPr>
              <w:rPr>
                <w:rFonts w:ascii="Calibri" w:hAnsi="Calibri" w:cs="Calibri"/>
                <w:color w:val="000000"/>
                <w:sz w:val="22"/>
                <w:szCs w:val="22"/>
              </w:rPr>
            </w:pPr>
            <w:r>
              <w:rPr>
                <w:rFonts w:ascii="Calibri" w:hAnsi="Calibri" w:cs="Calibri"/>
                <w:color w:val="000000"/>
                <w:sz w:val="22"/>
                <w:szCs w:val="22"/>
              </w:rPr>
              <w:t>Cook-GasConvOven</w:t>
            </w:r>
          </w:p>
          <w:p w:rsidR="0021242B" w:rsidRDefault="0021242B" w:rsidP="001C4039">
            <w:pPr>
              <w:rPr>
                <w:sz w:val="20"/>
                <w:szCs w:val="20"/>
              </w:rPr>
            </w:pPr>
            <w:r w:rsidRPr="0071575E">
              <w:rPr>
                <w:sz w:val="20"/>
                <w:szCs w:val="20"/>
              </w:rPr>
              <w:t xml:space="preserve">12 years </w:t>
            </w:r>
            <w:r>
              <w:rPr>
                <w:sz w:val="20"/>
                <w:szCs w:val="20"/>
              </w:rPr>
              <w:t xml:space="preserve">– </w:t>
            </w:r>
          </w:p>
          <w:p w:rsidR="0021242B" w:rsidRPr="0071575E" w:rsidRDefault="0021242B" w:rsidP="006F389A">
            <w:pPr>
              <w:rPr>
                <w:sz w:val="20"/>
                <w:szCs w:val="20"/>
              </w:rPr>
            </w:pPr>
            <w:r w:rsidRPr="0071575E">
              <w:rPr>
                <w:sz w:val="20"/>
                <w:szCs w:val="20"/>
              </w:rPr>
              <w:t xml:space="preserve">Source: </w:t>
            </w:r>
            <w:r>
              <w:rPr>
                <w:sz w:val="20"/>
                <w:szCs w:val="20"/>
              </w:rPr>
              <w:t>201</w:t>
            </w:r>
            <w:r w:rsidR="006F389A">
              <w:rPr>
                <w:sz w:val="20"/>
                <w:szCs w:val="20"/>
              </w:rPr>
              <w:t>6</w:t>
            </w:r>
            <w:r>
              <w:rPr>
                <w:sz w:val="20"/>
                <w:szCs w:val="20"/>
              </w:rPr>
              <w:t xml:space="preserve"> DEER </w:t>
            </w:r>
          </w:p>
        </w:tc>
        <w:tc>
          <w:tcPr>
            <w:tcW w:w="0" w:type="auto"/>
            <w:shd w:val="pct5" w:color="000000" w:fill="FFFFFF"/>
          </w:tcPr>
          <w:p w:rsidR="0021242B" w:rsidRPr="0071575E" w:rsidRDefault="0021242B" w:rsidP="001C4039">
            <w:pPr>
              <w:rPr>
                <w:sz w:val="20"/>
                <w:szCs w:val="20"/>
              </w:rPr>
            </w:pPr>
            <w:r>
              <w:rPr>
                <w:sz w:val="20"/>
                <w:szCs w:val="20"/>
              </w:rPr>
              <w:t xml:space="preserve">EULID = </w:t>
            </w:r>
          </w:p>
          <w:p w:rsidR="0021242B" w:rsidRDefault="0021242B" w:rsidP="001C4039">
            <w:pPr>
              <w:rPr>
                <w:rFonts w:ascii="Calibri" w:hAnsi="Calibri" w:cs="Calibri"/>
                <w:color w:val="000000"/>
                <w:sz w:val="22"/>
                <w:szCs w:val="22"/>
              </w:rPr>
            </w:pPr>
            <w:r>
              <w:rPr>
                <w:rFonts w:ascii="Calibri" w:hAnsi="Calibri" w:cs="Calibri"/>
                <w:color w:val="000000"/>
                <w:sz w:val="22"/>
                <w:szCs w:val="22"/>
              </w:rPr>
              <w:t>Cook-GasConvOven</w:t>
            </w:r>
          </w:p>
          <w:p w:rsidR="0021242B" w:rsidRDefault="0021242B" w:rsidP="001C4039">
            <w:pPr>
              <w:rPr>
                <w:sz w:val="20"/>
                <w:szCs w:val="20"/>
              </w:rPr>
            </w:pPr>
            <w:r w:rsidRPr="0071575E">
              <w:rPr>
                <w:sz w:val="20"/>
                <w:szCs w:val="20"/>
              </w:rPr>
              <w:t xml:space="preserve">12 years </w:t>
            </w:r>
            <w:r>
              <w:rPr>
                <w:sz w:val="20"/>
                <w:szCs w:val="20"/>
              </w:rPr>
              <w:t xml:space="preserve">– </w:t>
            </w:r>
          </w:p>
          <w:p w:rsidR="0021242B" w:rsidRPr="0071575E" w:rsidRDefault="0021242B" w:rsidP="006F389A">
            <w:pPr>
              <w:rPr>
                <w:sz w:val="20"/>
                <w:szCs w:val="20"/>
              </w:rPr>
            </w:pPr>
            <w:r w:rsidRPr="0071575E">
              <w:rPr>
                <w:sz w:val="20"/>
                <w:szCs w:val="20"/>
              </w:rPr>
              <w:t xml:space="preserve">Source: </w:t>
            </w:r>
            <w:r>
              <w:rPr>
                <w:sz w:val="20"/>
                <w:szCs w:val="20"/>
              </w:rPr>
              <w:t>201</w:t>
            </w:r>
            <w:r w:rsidR="006F389A">
              <w:rPr>
                <w:sz w:val="20"/>
                <w:szCs w:val="20"/>
              </w:rPr>
              <w:t>6</w:t>
            </w:r>
            <w:r>
              <w:rPr>
                <w:sz w:val="20"/>
                <w:szCs w:val="20"/>
              </w:rPr>
              <w:t xml:space="preserve"> DEER</w:t>
            </w:r>
          </w:p>
        </w:tc>
        <w:tc>
          <w:tcPr>
            <w:tcW w:w="0" w:type="auto"/>
            <w:shd w:val="pct5" w:color="000000" w:fill="FFFFFF"/>
          </w:tcPr>
          <w:p w:rsidR="0021242B" w:rsidRPr="0071575E" w:rsidRDefault="0021242B" w:rsidP="001C4039">
            <w:pPr>
              <w:rPr>
                <w:sz w:val="20"/>
                <w:szCs w:val="20"/>
              </w:rPr>
            </w:pPr>
            <w:r>
              <w:rPr>
                <w:sz w:val="20"/>
                <w:szCs w:val="20"/>
              </w:rPr>
              <w:t xml:space="preserve">EULID = </w:t>
            </w:r>
          </w:p>
          <w:p w:rsidR="0021242B" w:rsidRDefault="0021242B" w:rsidP="001C4039">
            <w:pPr>
              <w:rPr>
                <w:rFonts w:ascii="Calibri" w:hAnsi="Calibri" w:cs="Calibri"/>
                <w:color w:val="000000"/>
                <w:sz w:val="22"/>
                <w:szCs w:val="22"/>
              </w:rPr>
            </w:pPr>
            <w:r>
              <w:rPr>
                <w:rFonts w:ascii="Calibri" w:hAnsi="Calibri" w:cs="Calibri"/>
                <w:color w:val="000000"/>
                <w:sz w:val="22"/>
                <w:szCs w:val="22"/>
              </w:rPr>
              <w:t>Cook-GasConvOven</w:t>
            </w:r>
          </w:p>
          <w:p w:rsidR="0021242B" w:rsidRDefault="0021242B" w:rsidP="001C4039">
            <w:pPr>
              <w:rPr>
                <w:sz w:val="20"/>
                <w:szCs w:val="20"/>
              </w:rPr>
            </w:pPr>
            <w:r w:rsidRPr="0071575E">
              <w:rPr>
                <w:sz w:val="20"/>
                <w:szCs w:val="20"/>
              </w:rPr>
              <w:t xml:space="preserve">12 years </w:t>
            </w:r>
            <w:r>
              <w:rPr>
                <w:sz w:val="20"/>
                <w:szCs w:val="20"/>
              </w:rPr>
              <w:t xml:space="preserve">– </w:t>
            </w:r>
          </w:p>
          <w:p w:rsidR="0021242B" w:rsidRPr="0071575E" w:rsidRDefault="0021242B" w:rsidP="006F389A">
            <w:pPr>
              <w:rPr>
                <w:sz w:val="20"/>
                <w:szCs w:val="20"/>
              </w:rPr>
            </w:pPr>
            <w:r w:rsidRPr="0071575E">
              <w:rPr>
                <w:sz w:val="20"/>
                <w:szCs w:val="20"/>
              </w:rPr>
              <w:t xml:space="preserve">Source: </w:t>
            </w:r>
            <w:r>
              <w:rPr>
                <w:sz w:val="20"/>
                <w:szCs w:val="20"/>
              </w:rPr>
              <w:t>201</w:t>
            </w:r>
            <w:r w:rsidR="006F389A">
              <w:rPr>
                <w:sz w:val="20"/>
                <w:szCs w:val="20"/>
              </w:rPr>
              <w:t>6</w:t>
            </w:r>
            <w:r>
              <w:rPr>
                <w:sz w:val="20"/>
                <w:szCs w:val="20"/>
              </w:rPr>
              <w:t xml:space="preserve"> DEER</w:t>
            </w:r>
          </w:p>
        </w:tc>
      </w:tr>
      <w:tr w:rsidR="0021242B" w:rsidTr="001C4039">
        <w:trPr>
          <w:trHeight w:val="465"/>
        </w:trPr>
        <w:tc>
          <w:tcPr>
            <w:tcW w:w="0" w:type="auto"/>
            <w:shd w:val="pct20" w:color="000000" w:fill="FFFFFF"/>
          </w:tcPr>
          <w:p w:rsidR="0021242B" w:rsidRDefault="0021242B" w:rsidP="001C4039">
            <w:pPr>
              <w:rPr>
                <w:b/>
              </w:rPr>
            </w:pPr>
            <w:r>
              <w:rPr>
                <w:b/>
              </w:rPr>
              <w:t>Program Type:</w:t>
            </w:r>
          </w:p>
        </w:tc>
        <w:tc>
          <w:tcPr>
            <w:tcW w:w="0" w:type="auto"/>
            <w:shd w:val="pct20" w:color="000000" w:fill="FFFFFF"/>
          </w:tcPr>
          <w:p w:rsidR="0021242B" w:rsidRDefault="0021242B" w:rsidP="001C4039">
            <w:pPr>
              <w:rPr>
                <w:sz w:val="20"/>
                <w:szCs w:val="20"/>
              </w:rPr>
            </w:pPr>
            <w:r>
              <w:rPr>
                <w:sz w:val="20"/>
                <w:szCs w:val="20"/>
              </w:rPr>
              <w:t>Replace on Burnout (ROB), and New Construction (NC).</w:t>
            </w:r>
          </w:p>
        </w:tc>
        <w:tc>
          <w:tcPr>
            <w:tcW w:w="0" w:type="auto"/>
            <w:shd w:val="pct20" w:color="000000" w:fill="FFFFFF"/>
          </w:tcPr>
          <w:p w:rsidR="0021242B" w:rsidDel="00D36724" w:rsidRDefault="0021242B" w:rsidP="001C4039">
            <w:pPr>
              <w:rPr>
                <w:sz w:val="20"/>
                <w:szCs w:val="20"/>
              </w:rPr>
            </w:pPr>
            <w:r>
              <w:rPr>
                <w:sz w:val="20"/>
                <w:szCs w:val="20"/>
              </w:rPr>
              <w:t>Replace on Burnout (ROB), and New Construction (NC).</w:t>
            </w:r>
          </w:p>
        </w:tc>
        <w:tc>
          <w:tcPr>
            <w:tcW w:w="0" w:type="auto"/>
            <w:shd w:val="pct20" w:color="000000" w:fill="FFFFFF"/>
          </w:tcPr>
          <w:p w:rsidR="0021242B" w:rsidDel="00D36724" w:rsidRDefault="0021242B" w:rsidP="001C4039">
            <w:pPr>
              <w:rPr>
                <w:sz w:val="20"/>
                <w:szCs w:val="20"/>
              </w:rPr>
            </w:pPr>
            <w:r>
              <w:rPr>
                <w:sz w:val="20"/>
                <w:szCs w:val="20"/>
              </w:rPr>
              <w:t>Replace on Burnout (ROB), and New Construction (NC).</w:t>
            </w:r>
          </w:p>
        </w:tc>
      </w:tr>
      <w:tr w:rsidR="0021242B" w:rsidTr="001C4039">
        <w:trPr>
          <w:trHeight w:val="465"/>
        </w:trPr>
        <w:tc>
          <w:tcPr>
            <w:tcW w:w="0" w:type="auto"/>
            <w:shd w:val="pct5" w:color="000000" w:fill="FFFFFF"/>
          </w:tcPr>
          <w:p w:rsidR="0021242B" w:rsidRDefault="0021242B" w:rsidP="001C4039">
            <w:pPr>
              <w:rPr>
                <w:b/>
              </w:rPr>
            </w:pPr>
            <w:r>
              <w:rPr>
                <w:b/>
              </w:rPr>
              <w:t xml:space="preserve">Net-to-Gross Ratios: </w:t>
            </w:r>
          </w:p>
        </w:tc>
        <w:tc>
          <w:tcPr>
            <w:tcW w:w="0" w:type="auto"/>
            <w:shd w:val="pct5" w:color="000000" w:fill="FFFFFF"/>
          </w:tcPr>
          <w:p w:rsidR="0021242B" w:rsidRDefault="0021242B" w:rsidP="001C4039">
            <w:pPr>
              <w:rPr>
                <w:sz w:val="20"/>
                <w:szCs w:val="20"/>
              </w:rPr>
            </w:pPr>
            <w:r>
              <w:rPr>
                <w:sz w:val="20"/>
                <w:szCs w:val="20"/>
              </w:rPr>
              <w:t xml:space="preserve">Source: 2016 DEER  </w:t>
            </w:r>
          </w:p>
          <w:p w:rsidR="0021242B" w:rsidRDefault="0021242B" w:rsidP="001C4039">
            <w:pPr>
              <w:rPr>
                <w:sz w:val="20"/>
                <w:szCs w:val="20"/>
              </w:rPr>
            </w:pPr>
            <w:r>
              <w:rPr>
                <w:sz w:val="20"/>
                <w:szCs w:val="20"/>
              </w:rPr>
              <w:t xml:space="preserve">NTGID= </w:t>
            </w:r>
            <w:r w:rsidRPr="00B76B8C">
              <w:rPr>
                <w:sz w:val="20"/>
                <w:szCs w:val="20"/>
              </w:rPr>
              <w:t>Com-Default&gt;2yrs</w:t>
            </w:r>
          </w:p>
        </w:tc>
        <w:tc>
          <w:tcPr>
            <w:tcW w:w="0" w:type="auto"/>
            <w:shd w:val="pct5" w:color="000000" w:fill="FFFFFF"/>
          </w:tcPr>
          <w:p w:rsidR="0021242B" w:rsidRDefault="0021242B" w:rsidP="00D34112">
            <w:pPr>
              <w:rPr>
                <w:sz w:val="20"/>
                <w:szCs w:val="20"/>
              </w:rPr>
            </w:pPr>
            <w:r>
              <w:rPr>
                <w:sz w:val="20"/>
                <w:szCs w:val="20"/>
              </w:rPr>
              <w:t xml:space="preserve">Source: 2016 DEER NTGID= </w:t>
            </w:r>
            <w:r w:rsidR="00D34112" w:rsidRPr="00B76B8C">
              <w:rPr>
                <w:sz w:val="20"/>
                <w:szCs w:val="20"/>
              </w:rPr>
              <w:t>Com-Default&gt;2yrs</w:t>
            </w:r>
          </w:p>
        </w:tc>
        <w:tc>
          <w:tcPr>
            <w:tcW w:w="0" w:type="auto"/>
            <w:shd w:val="pct5" w:color="000000" w:fill="FFFFFF"/>
          </w:tcPr>
          <w:p w:rsidR="0021242B" w:rsidRDefault="0021242B" w:rsidP="00D34112">
            <w:pPr>
              <w:rPr>
                <w:sz w:val="20"/>
                <w:szCs w:val="20"/>
              </w:rPr>
            </w:pPr>
            <w:r>
              <w:rPr>
                <w:sz w:val="20"/>
                <w:szCs w:val="20"/>
              </w:rPr>
              <w:t xml:space="preserve">Source: 2016 DEER NTGID= </w:t>
            </w:r>
            <w:r w:rsidR="00D34112" w:rsidRPr="00B76B8C">
              <w:rPr>
                <w:sz w:val="20"/>
                <w:szCs w:val="20"/>
              </w:rPr>
              <w:t>Com-Default&gt;2yrs</w:t>
            </w:r>
          </w:p>
        </w:tc>
      </w:tr>
      <w:tr w:rsidR="008A0EA2" w:rsidTr="001C4039">
        <w:trPr>
          <w:trHeight w:val="465"/>
        </w:trPr>
        <w:tc>
          <w:tcPr>
            <w:tcW w:w="0" w:type="auto"/>
            <w:shd w:val="pct20" w:color="000000" w:fill="FFFFFF"/>
          </w:tcPr>
          <w:p w:rsidR="008A0EA2" w:rsidRDefault="008A0EA2" w:rsidP="001C4039">
            <w:pPr>
              <w:rPr>
                <w:b/>
              </w:rPr>
            </w:pPr>
            <w:r>
              <w:rPr>
                <w:b/>
              </w:rPr>
              <w:t>Important Comments:</w:t>
            </w:r>
          </w:p>
        </w:tc>
        <w:tc>
          <w:tcPr>
            <w:tcW w:w="0" w:type="auto"/>
            <w:shd w:val="pct20" w:color="000000" w:fill="FFFFFF"/>
          </w:tcPr>
          <w:p w:rsidR="008A0EA2" w:rsidRDefault="008A0EA2" w:rsidP="001C4039">
            <w:pPr>
              <w:rPr>
                <w:sz w:val="20"/>
                <w:szCs w:val="20"/>
              </w:rPr>
            </w:pPr>
            <w:r>
              <w:rPr>
                <w:sz w:val="20"/>
                <w:szCs w:val="20"/>
              </w:rPr>
              <w:t>This measure level created for SCG</w:t>
            </w:r>
          </w:p>
        </w:tc>
        <w:tc>
          <w:tcPr>
            <w:tcW w:w="0" w:type="auto"/>
            <w:shd w:val="pct20" w:color="000000" w:fill="FFFFFF"/>
          </w:tcPr>
          <w:p w:rsidR="008A0EA2" w:rsidRDefault="008A0EA2" w:rsidP="001C4039">
            <w:pPr>
              <w:rPr>
                <w:sz w:val="20"/>
                <w:szCs w:val="20"/>
              </w:rPr>
            </w:pPr>
          </w:p>
        </w:tc>
        <w:tc>
          <w:tcPr>
            <w:tcW w:w="0" w:type="auto"/>
            <w:shd w:val="pct20" w:color="000000" w:fill="FFFFFF"/>
          </w:tcPr>
          <w:p w:rsidR="008A0EA2" w:rsidRDefault="008A0EA2" w:rsidP="001C4039">
            <w:pPr>
              <w:rPr>
                <w:sz w:val="20"/>
                <w:szCs w:val="20"/>
              </w:rPr>
            </w:pPr>
            <w:r>
              <w:rPr>
                <w:sz w:val="20"/>
                <w:szCs w:val="20"/>
              </w:rPr>
              <w:t>This measure level created for SCG</w:t>
            </w:r>
          </w:p>
        </w:tc>
      </w:tr>
    </w:tbl>
    <w:p w:rsidR="008A0EA2" w:rsidRDefault="008A0EA2" w:rsidP="008A0EA2">
      <w:pPr>
        <w:pStyle w:val="Heading1"/>
        <w:sectPr w:rsidR="008A0EA2">
          <w:endnotePr>
            <w:numFmt w:val="decimal"/>
          </w:endnotePr>
          <w:pgSz w:w="12240" w:h="15840"/>
          <w:pgMar w:top="1440" w:right="1440" w:bottom="1440" w:left="1440" w:header="720" w:footer="720" w:gutter="0"/>
          <w:pgNumType w:fmt="lowerRoman"/>
          <w:cols w:space="720"/>
          <w:docGrid w:linePitch="360"/>
        </w:sectPr>
      </w:pPr>
    </w:p>
    <w:bookmarkEnd w:id="5"/>
    <w:bookmarkEnd w:id="6"/>
    <w:p w:rsidR="008A0EA2" w:rsidRDefault="008A0EA2" w:rsidP="00F578B9">
      <w:pPr>
        <w:pStyle w:val="Heading1"/>
        <w:rPr>
          <w:lang w:val="en-US"/>
        </w:rPr>
      </w:pPr>
    </w:p>
    <w:p w:rsidR="00F578B9" w:rsidRDefault="00F578B9" w:rsidP="00F578B9">
      <w:pPr>
        <w:pStyle w:val="Heading1"/>
      </w:pPr>
      <w:bookmarkStart w:id="8" w:name="_Toc458439230"/>
      <w:r>
        <w:t>Document Revision History</w:t>
      </w:r>
      <w:bookmarkEnd w:id="8"/>
    </w:p>
    <w:p w:rsidR="00F578B9" w:rsidRPr="00974F34" w:rsidRDefault="00F578B9" w:rsidP="00F578B9">
      <w:pPr>
        <w:rPr>
          <w:b/>
        </w:rPr>
      </w:pPr>
      <w:r w:rsidRPr="00974F34">
        <w:rPr>
          <w:b/>
        </w:rPr>
        <w:t xml:space="preserve">     Revision # </w:t>
      </w:r>
      <w:r w:rsidRPr="00974F34">
        <w:rPr>
          <w:b/>
        </w:rPr>
        <w:tab/>
      </w:r>
      <w:r w:rsidRPr="00974F34">
        <w:rPr>
          <w:b/>
        </w:rPr>
        <w:tab/>
        <w:t xml:space="preserve">Date </w:t>
      </w:r>
      <w:r w:rsidRPr="00974F34">
        <w:rPr>
          <w:b/>
        </w:rPr>
        <w:tab/>
      </w:r>
      <w:r w:rsidRPr="00974F34">
        <w:rPr>
          <w:b/>
        </w:rPr>
        <w:tab/>
        <w:t xml:space="preserve">         Description</w:t>
      </w:r>
      <w:r w:rsidRPr="00974F34">
        <w:rPr>
          <w:b/>
        </w:rPr>
        <w:tab/>
      </w:r>
      <w:r w:rsidRPr="00974F34">
        <w:rPr>
          <w:b/>
        </w:rPr>
        <w:tab/>
        <w:t xml:space="preserve">         Author (Company)</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757"/>
        <w:gridCol w:w="1215"/>
        <w:gridCol w:w="3263"/>
        <w:gridCol w:w="3234"/>
      </w:tblGrid>
      <w:tr w:rsidR="0021242B" w:rsidRPr="009B4A8F" w:rsidTr="001C4039">
        <w:trPr>
          <w:trHeight w:val="464"/>
        </w:trPr>
        <w:tc>
          <w:tcPr>
            <w:tcW w:w="928" w:type="pct"/>
            <w:shd w:val="pct20" w:color="000000" w:fill="FFFFFF"/>
            <w:vAlign w:val="center"/>
          </w:tcPr>
          <w:p w:rsidR="0021242B" w:rsidRPr="004B57AC" w:rsidRDefault="0021242B" w:rsidP="001C4039">
            <w:pPr>
              <w:jc w:val="center"/>
              <w:rPr>
                <w:sz w:val="20"/>
                <w:szCs w:val="20"/>
              </w:rPr>
            </w:pPr>
            <w:r w:rsidRPr="004B57AC">
              <w:rPr>
                <w:sz w:val="20"/>
                <w:szCs w:val="20"/>
              </w:rPr>
              <w:t>Revision 0</w:t>
            </w:r>
          </w:p>
        </w:tc>
        <w:tc>
          <w:tcPr>
            <w:tcW w:w="642" w:type="pct"/>
            <w:shd w:val="pct20" w:color="000000" w:fill="FFFFFF"/>
            <w:vAlign w:val="center"/>
          </w:tcPr>
          <w:p w:rsidR="0021242B" w:rsidRPr="004B57AC" w:rsidRDefault="0021242B" w:rsidP="001C4039">
            <w:pPr>
              <w:jc w:val="center"/>
              <w:rPr>
                <w:sz w:val="20"/>
                <w:szCs w:val="20"/>
              </w:rPr>
            </w:pPr>
            <w:r w:rsidRPr="004B57AC">
              <w:rPr>
                <w:sz w:val="20"/>
                <w:szCs w:val="20"/>
              </w:rPr>
              <w:t>12/12/2007</w:t>
            </w:r>
          </w:p>
        </w:tc>
        <w:tc>
          <w:tcPr>
            <w:tcW w:w="1723" w:type="pct"/>
            <w:shd w:val="pct20" w:color="000000" w:fill="FFFFFF"/>
            <w:vAlign w:val="center"/>
          </w:tcPr>
          <w:p w:rsidR="0021242B" w:rsidRPr="004B57AC" w:rsidRDefault="0021242B" w:rsidP="001C4039">
            <w:pPr>
              <w:rPr>
                <w:sz w:val="20"/>
                <w:szCs w:val="20"/>
              </w:rPr>
            </w:pPr>
            <w:r w:rsidRPr="004B57AC">
              <w:rPr>
                <w:sz w:val="20"/>
                <w:szCs w:val="20"/>
              </w:rPr>
              <w:t>Original work paper: Commercial Convection Oven PGECOFST101 R0.doc</w:t>
            </w:r>
          </w:p>
        </w:tc>
        <w:tc>
          <w:tcPr>
            <w:tcW w:w="1708" w:type="pct"/>
            <w:shd w:val="pct20" w:color="000000" w:fill="FFFFFF"/>
            <w:vAlign w:val="center"/>
          </w:tcPr>
          <w:p w:rsidR="0021242B" w:rsidRPr="004B57AC" w:rsidRDefault="0021242B" w:rsidP="001C4039">
            <w:pPr>
              <w:jc w:val="center"/>
              <w:rPr>
                <w:bCs/>
                <w:sz w:val="20"/>
                <w:szCs w:val="20"/>
                <w:lang w:val="de-DE"/>
              </w:rPr>
            </w:pPr>
            <w:r w:rsidRPr="004B57AC">
              <w:rPr>
                <w:bCs/>
                <w:sz w:val="20"/>
                <w:szCs w:val="20"/>
                <w:lang w:val="de-DE"/>
              </w:rPr>
              <w:t>David Zabrowski (Fisher-Nickel, Inc.)</w:t>
            </w:r>
          </w:p>
        </w:tc>
      </w:tr>
      <w:tr w:rsidR="0021242B" w:rsidTr="001C4039">
        <w:trPr>
          <w:trHeight w:val="464"/>
        </w:trPr>
        <w:tc>
          <w:tcPr>
            <w:tcW w:w="928" w:type="pct"/>
            <w:shd w:val="pct5" w:color="000000" w:fill="FFFFFF"/>
            <w:vAlign w:val="center"/>
          </w:tcPr>
          <w:tbl>
            <w:tblPr>
              <w:tblW w:w="1541" w:type="dxa"/>
              <w:tblBorders>
                <w:insideH w:val="single" w:sz="18" w:space="0" w:color="FFFFFF"/>
                <w:insideV w:val="single" w:sz="18" w:space="0" w:color="FFFFFF"/>
              </w:tblBorders>
              <w:tblLook w:val="01E0" w:firstRow="1" w:lastRow="1" w:firstColumn="1" w:lastColumn="1" w:noHBand="0" w:noVBand="0"/>
            </w:tblPr>
            <w:tblGrid>
              <w:gridCol w:w="1541"/>
            </w:tblGrid>
            <w:tr w:rsidR="0021242B" w:rsidRPr="004B57AC" w:rsidTr="001C4039">
              <w:trPr>
                <w:trHeight w:val="512"/>
              </w:trPr>
              <w:tc>
                <w:tcPr>
                  <w:tcW w:w="5000" w:type="pct"/>
                  <w:shd w:val="pct5" w:color="000000" w:fill="FFFFFF"/>
                </w:tcPr>
                <w:p w:rsidR="0021242B" w:rsidRPr="004B57AC" w:rsidRDefault="0021242B" w:rsidP="001C4039">
                  <w:pPr>
                    <w:ind w:left="-36"/>
                    <w:jc w:val="center"/>
                    <w:rPr>
                      <w:sz w:val="20"/>
                      <w:szCs w:val="20"/>
                      <w:lang w:val="de-DE"/>
                    </w:rPr>
                  </w:pPr>
                  <w:r w:rsidRPr="004B57AC">
                    <w:rPr>
                      <w:sz w:val="20"/>
                      <w:szCs w:val="20"/>
                      <w:lang w:val="de-DE"/>
                    </w:rPr>
                    <w:t>Revision 1</w:t>
                  </w:r>
                </w:p>
              </w:tc>
            </w:tr>
          </w:tbl>
          <w:p w:rsidR="0021242B" w:rsidRPr="004B57AC" w:rsidRDefault="0021242B" w:rsidP="001C4039">
            <w:pPr>
              <w:jc w:val="center"/>
              <w:rPr>
                <w:sz w:val="20"/>
                <w:szCs w:val="20"/>
              </w:rPr>
            </w:pPr>
          </w:p>
        </w:tc>
        <w:tc>
          <w:tcPr>
            <w:tcW w:w="642" w:type="pct"/>
            <w:shd w:val="pct5" w:color="000000" w:fill="FFFFFF"/>
            <w:vAlign w:val="center"/>
          </w:tcPr>
          <w:tbl>
            <w:tblPr>
              <w:tblW w:w="1195" w:type="pct"/>
              <w:tblInd w:w="108" w:type="dxa"/>
              <w:tblBorders>
                <w:insideH w:val="single" w:sz="18" w:space="0" w:color="FFFFFF"/>
                <w:insideV w:val="single" w:sz="18" w:space="0" w:color="FFFFFF"/>
              </w:tblBorders>
              <w:tblLook w:val="01E0" w:firstRow="1" w:lastRow="1" w:firstColumn="1" w:lastColumn="1" w:noHBand="0" w:noVBand="0"/>
            </w:tblPr>
            <w:tblGrid>
              <w:gridCol w:w="728"/>
            </w:tblGrid>
            <w:tr w:rsidR="0021242B" w:rsidRPr="004B57AC" w:rsidTr="001C4039">
              <w:trPr>
                <w:trHeight w:val="464"/>
              </w:trPr>
              <w:tc>
                <w:tcPr>
                  <w:tcW w:w="5000" w:type="pct"/>
                  <w:shd w:val="pct5" w:color="000000" w:fill="FFFFFF"/>
                </w:tcPr>
                <w:p w:rsidR="0021242B" w:rsidRPr="004B57AC" w:rsidRDefault="0021242B" w:rsidP="001C4039">
                  <w:pPr>
                    <w:jc w:val="center"/>
                    <w:rPr>
                      <w:sz w:val="20"/>
                      <w:szCs w:val="20"/>
                      <w:lang w:val="de-DE"/>
                    </w:rPr>
                  </w:pPr>
                  <w:r w:rsidRPr="004B57AC">
                    <w:rPr>
                      <w:sz w:val="20"/>
                      <w:szCs w:val="20"/>
                      <w:lang w:val="de-DE"/>
                    </w:rPr>
                    <w:t>6/1/09</w:t>
                  </w:r>
                </w:p>
              </w:tc>
            </w:tr>
          </w:tbl>
          <w:p w:rsidR="0021242B" w:rsidRPr="004B57AC" w:rsidRDefault="0021242B" w:rsidP="001C4039">
            <w:pPr>
              <w:jc w:val="center"/>
              <w:rPr>
                <w:sz w:val="20"/>
                <w:szCs w:val="20"/>
              </w:rPr>
            </w:pPr>
          </w:p>
        </w:tc>
        <w:tc>
          <w:tcPr>
            <w:tcW w:w="1723" w:type="pct"/>
            <w:shd w:val="pct5" w:color="000000" w:fill="FFFFFF"/>
            <w:vAlign w:val="center"/>
          </w:tcPr>
          <w:tbl>
            <w:tblPr>
              <w:tblW w:w="3047" w:type="dxa"/>
              <w:tblBorders>
                <w:insideH w:val="single" w:sz="18" w:space="0" w:color="FFFFFF"/>
                <w:insideV w:val="single" w:sz="18" w:space="0" w:color="FFFFFF"/>
              </w:tblBorders>
              <w:tblLook w:val="01E0" w:firstRow="1" w:lastRow="1" w:firstColumn="1" w:lastColumn="1" w:noHBand="0" w:noVBand="0"/>
            </w:tblPr>
            <w:tblGrid>
              <w:gridCol w:w="3047"/>
            </w:tblGrid>
            <w:tr w:rsidR="0021242B" w:rsidRPr="004B57AC" w:rsidTr="001C4039">
              <w:trPr>
                <w:trHeight w:val="656"/>
              </w:trPr>
              <w:tc>
                <w:tcPr>
                  <w:tcW w:w="5000" w:type="pct"/>
                  <w:shd w:val="pct5" w:color="000000" w:fill="FFFFFF"/>
                </w:tcPr>
                <w:p w:rsidR="0021242B" w:rsidRPr="004B57AC" w:rsidRDefault="0021242B" w:rsidP="001C4039">
                  <w:pPr>
                    <w:rPr>
                      <w:sz w:val="20"/>
                      <w:szCs w:val="20"/>
                    </w:rPr>
                  </w:pPr>
                  <w:r w:rsidRPr="004B57AC">
                    <w:rPr>
                      <w:sz w:val="20"/>
                      <w:szCs w:val="20"/>
                    </w:rPr>
                    <w:t>Changes to EUL, NTG language and references, costs  updated</w:t>
                  </w:r>
                </w:p>
              </w:tc>
            </w:tr>
          </w:tbl>
          <w:p w:rsidR="0021242B" w:rsidRPr="004B57AC" w:rsidRDefault="0021242B" w:rsidP="001C4039">
            <w:pPr>
              <w:rPr>
                <w:sz w:val="20"/>
                <w:szCs w:val="20"/>
              </w:rPr>
            </w:pPr>
          </w:p>
        </w:tc>
        <w:tc>
          <w:tcPr>
            <w:tcW w:w="1708" w:type="pct"/>
            <w:shd w:val="pct5" w:color="000000" w:fill="FFFFFF"/>
            <w:vAlign w:val="center"/>
          </w:tcPr>
          <w:tbl>
            <w:tblPr>
              <w:tblW w:w="2910" w:type="dxa"/>
              <w:tblInd w:w="108" w:type="dxa"/>
              <w:tblBorders>
                <w:insideH w:val="single" w:sz="18" w:space="0" w:color="FFFFFF"/>
                <w:insideV w:val="single" w:sz="18" w:space="0" w:color="FFFFFF"/>
              </w:tblBorders>
              <w:tblLook w:val="01E0" w:firstRow="1" w:lastRow="1" w:firstColumn="1" w:lastColumn="1" w:noHBand="0" w:noVBand="0"/>
            </w:tblPr>
            <w:tblGrid>
              <w:gridCol w:w="2910"/>
            </w:tblGrid>
            <w:tr w:rsidR="0021242B" w:rsidRPr="004B57AC" w:rsidTr="001C4039">
              <w:trPr>
                <w:trHeight w:val="191"/>
              </w:trPr>
              <w:tc>
                <w:tcPr>
                  <w:tcW w:w="5000" w:type="pct"/>
                  <w:shd w:val="pct5" w:color="000000" w:fill="FFFFFF"/>
                </w:tcPr>
                <w:p w:rsidR="0021242B" w:rsidRPr="004B57AC" w:rsidRDefault="0021242B" w:rsidP="001C4039">
                  <w:pPr>
                    <w:jc w:val="center"/>
                    <w:rPr>
                      <w:bCs/>
                      <w:sz w:val="20"/>
                      <w:szCs w:val="20"/>
                      <w:lang w:val="de-DE"/>
                    </w:rPr>
                  </w:pPr>
                  <w:r w:rsidRPr="004B57AC">
                    <w:rPr>
                      <w:bCs/>
                      <w:sz w:val="20"/>
                      <w:szCs w:val="20"/>
                      <w:lang w:val="de-DE"/>
                    </w:rPr>
                    <w:t>David Zabrowski, Lauren Mills (Fisher-Nickel, inc.), Steve Blanc PG&amp;E</w:t>
                  </w:r>
                </w:p>
              </w:tc>
            </w:tr>
          </w:tbl>
          <w:p w:rsidR="0021242B" w:rsidRPr="004B57AC" w:rsidRDefault="0021242B" w:rsidP="001C4039">
            <w:pPr>
              <w:jc w:val="center"/>
              <w:rPr>
                <w:sz w:val="20"/>
                <w:szCs w:val="20"/>
              </w:rPr>
            </w:pPr>
          </w:p>
        </w:tc>
      </w:tr>
      <w:tr w:rsidR="0021242B" w:rsidRPr="00D57304" w:rsidTr="001C4039">
        <w:trPr>
          <w:trHeight w:val="464"/>
        </w:trPr>
        <w:tc>
          <w:tcPr>
            <w:tcW w:w="928" w:type="pct"/>
            <w:shd w:val="pct20" w:color="000000" w:fill="FFFFFF"/>
            <w:vAlign w:val="center"/>
          </w:tcPr>
          <w:p w:rsidR="0021242B" w:rsidRPr="004B57AC" w:rsidRDefault="0021242B" w:rsidP="001C4039">
            <w:pPr>
              <w:jc w:val="center"/>
              <w:rPr>
                <w:sz w:val="20"/>
                <w:szCs w:val="20"/>
              </w:rPr>
            </w:pPr>
            <w:r w:rsidRPr="004B57AC">
              <w:rPr>
                <w:sz w:val="20"/>
                <w:szCs w:val="20"/>
              </w:rPr>
              <w:t>Revision 2</w:t>
            </w:r>
          </w:p>
        </w:tc>
        <w:tc>
          <w:tcPr>
            <w:tcW w:w="642" w:type="pct"/>
            <w:shd w:val="pct20" w:color="000000" w:fill="FFFFFF"/>
            <w:vAlign w:val="center"/>
          </w:tcPr>
          <w:p w:rsidR="0021242B" w:rsidRPr="004B57AC" w:rsidRDefault="0021242B" w:rsidP="001C4039">
            <w:pPr>
              <w:jc w:val="center"/>
              <w:rPr>
                <w:sz w:val="20"/>
                <w:szCs w:val="20"/>
              </w:rPr>
            </w:pPr>
            <w:r w:rsidRPr="004B57AC">
              <w:rPr>
                <w:sz w:val="20"/>
                <w:szCs w:val="20"/>
              </w:rPr>
              <w:t>3/31/2010</w:t>
            </w:r>
          </w:p>
        </w:tc>
        <w:tc>
          <w:tcPr>
            <w:tcW w:w="1723" w:type="pct"/>
            <w:shd w:val="pct20" w:color="000000" w:fill="FFFFFF"/>
            <w:vAlign w:val="center"/>
          </w:tcPr>
          <w:p w:rsidR="0021242B" w:rsidRPr="004B57AC" w:rsidRDefault="0021242B" w:rsidP="001C4039">
            <w:pPr>
              <w:rPr>
                <w:sz w:val="20"/>
                <w:szCs w:val="20"/>
              </w:rPr>
            </w:pPr>
            <w:r w:rsidRPr="004B57AC">
              <w:rPr>
                <w:sz w:val="20"/>
                <w:szCs w:val="20"/>
              </w:rPr>
              <w:t>Updated pricing and incremental cost, Changes to align with new Energy Star specification, Update to DEER 2009-11 NTG file</w:t>
            </w:r>
          </w:p>
        </w:tc>
        <w:tc>
          <w:tcPr>
            <w:tcW w:w="1708" w:type="pct"/>
            <w:shd w:val="pct20" w:color="000000" w:fill="FFFFFF"/>
            <w:vAlign w:val="center"/>
          </w:tcPr>
          <w:p w:rsidR="0021242B" w:rsidRPr="004B57AC" w:rsidRDefault="0021242B" w:rsidP="001C4039">
            <w:pPr>
              <w:jc w:val="center"/>
              <w:rPr>
                <w:sz w:val="20"/>
                <w:szCs w:val="20"/>
              </w:rPr>
            </w:pPr>
            <w:r w:rsidRPr="004B57AC">
              <w:rPr>
                <w:sz w:val="20"/>
                <w:szCs w:val="20"/>
              </w:rPr>
              <w:t>David Zabrowski (Fisher-Nickel, inc.), Steve Blanc PG&amp;E</w:t>
            </w:r>
          </w:p>
        </w:tc>
      </w:tr>
      <w:tr w:rsidR="0021242B" w:rsidTr="001C4039">
        <w:trPr>
          <w:trHeight w:val="464"/>
        </w:trPr>
        <w:tc>
          <w:tcPr>
            <w:tcW w:w="928" w:type="pct"/>
            <w:shd w:val="pct5" w:color="000000" w:fill="FFFFFF"/>
            <w:vAlign w:val="center"/>
          </w:tcPr>
          <w:p w:rsidR="0021242B" w:rsidRPr="004B57AC" w:rsidRDefault="0021242B" w:rsidP="001C4039">
            <w:pPr>
              <w:jc w:val="center"/>
              <w:rPr>
                <w:sz w:val="20"/>
                <w:szCs w:val="20"/>
              </w:rPr>
            </w:pPr>
            <w:r w:rsidRPr="004B57AC">
              <w:rPr>
                <w:sz w:val="20"/>
                <w:szCs w:val="20"/>
              </w:rPr>
              <w:t>Revision 3</w:t>
            </w:r>
          </w:p>
        </w:tc>
        <w:tc>
          <w:tcPr>
            <w:tcW w:w="642" w:type="pct"/>
            <w:shd w:val="pct5" w:color="000000" w:fill="FFFFFF"/>
            <w:vAlign w:val="center"/>
          </w:tcPr>
          <w:p w:rsidR="0021242B" w:rsidRPr="004B57AC" w:rsidRDefault="0021242B" w:rsidP="001C4039">
            <w:pPr>
              <w:jc w:val="center"/>
              <w:rPr>
                <w:sz w:val="20"/>
                <w:szCs w:val="20"/>
              </w:rPr>
            </w:pPr>
            <w:r w:rsidRPr="004B57AC">
              <w:rPr>
                <w:sz w:val="20"/>
                <w:szCs w:val="20"/>
              </w:rPr>
              <w:t>7/27/2011</w:t>
            </w:r>
          </w:p>
        </w:tc>
        <w:tc>
          <w:tcPr>
            <w:tcW w:w="1723" w:type="pct"/>
            <w:shd w:val="pct5" w:color="000000" w:fill="FFFFFF"/>
            <w:vAlign w:val="center"/>
          </w:tcPr>
          <w:p w:rsidR="0021242B" w:rsidRPr="004B57AC" w:rsidRDefault="0021242B" w:rsidP="001C4039">
            <w:pPr>
              <w:rPr>
                <w:sz w:val="20"/>
                <w:szCs w:val="20"/>
              </w:rPr>
            </w:pPr>
            <w:r w:rsidRPr="004B57AC">
              <w:rPr>
                <w:sz w:val="20"/>
                <w:szCs w:val="20"/>
              </w:rPr>
              <w:t>Updated measure codes for 2010-12 program, included ED comments and UES reduction in savings by 30% in sections 2.3 and 2.3</w:t>
            </w:r>
          </w:p>
        </w:tc>
        <w:tc>
          <w:tcPr>
            <w:tcW w:w="1708" w:type="pct"/>
            <w:shd w:val="pct5" w:color="000000" w:fill="FFFFFF"/>
            <w:vAlign w:val="center"/>
          </w:tcPr>
          <w:p w:rsidR="0021242B" w:rsidRPr="004B57AC" w:rsidRDefault="0021242B" w:rsidP="001C4039">
            <w:pPr>
              <w:jc w:val="center"/>
              <w:rPr>
                <w:bCs/>
                <w:sz w:val="20"/>
                <w:szCs w:val="20"/>
              </w:rPr>
            </w:pPr>
            <w:r w:rsidRPr="004B57AC">
              <w:rPr>
                <w:bCs/>
                <w:sz w:val="20"/>
                <w:szCs w:val="20"/>
              </w:rPr>
              <w:t>Charlene Spoor PG&amp;E (CLCI)</w:t>
            </w:r>
          </w:p>
        </w:tc>
      </w:tr>
      <w:tr w:rsidR="0021242B" w:rsidTr="001C4039">
        <w:trPr>
          <w:trHeight w:val="464"/>
        </w:trPr>
        <w:tc>
          <w:tcPr>
            <w:tcW w:w="928" w:type="pct"/>
            <w:shd w:val="pct20" w:color="000000" w:fill="FFFFFF"/>
            <w:vAlign w:val="center"/>
          </w:tcPr>
          <w:p w:rsidR="0021242B" w:rsidRPr="004B57AC" w:rsidRDefault="0021242B" w:rsidP="001C4039">
            <w:pPr>
              <w:jc w:val="center"/>
              <w:rPr>
                <w:sz w:val="20"/>
                <w:szCs w:val="20"/>
              </w:rPr>
            </w:pPr>
            <w:r w:rsidRPr="004B57AC">
              <w:rPr>
                <w:sz w:val="20"/>
                <w:szCs w:val="20"/>
              </w:rPr>
              <w:t>Revision 4</w:t>
            </w:r>
          </w:p>
        </w:tc>
        <w:tc>
          <w:tcPr>
            <w:tcW w:w="642" w:type="pct"/>
            <w:shd w:val="pct20" w:color="000000" w:fill="FFFFFF"/>
            <w:vAlign w:val="center"/>
          </w:tcPr>
          <w:p w:rsidR="0021242B" w:rsidRPr="004B57AC" w:rsidRDefault="0021242B" w:rsidP="001C4039">
            <w:pPr>
              <w:jc w:val="center"/>
              <w:rPr>
                <w:sz w:val="20"/>
                <w:szCs w:val="20"/>
              </w:rPr>
            </w:pPr>
            <w:r w:rsidRPr="004B57AC">
              <w:rPr>
                <w:sz w:val="20"/>
                <w:szCs w:val="20"/>
              </w:rPr>
              <w:t>6/5/2012</w:t>
            </w:r>
          </w:p>
          <w:p w:rsidR="0021242B" w:rsidRPr="004B57AC" w:rsidRDefault="0021242B" w:rsidP="001C4039">
            <w:pPr>
              <w:jc w:val="center"/>
              <w:rPr>
                <w:sz w:val="20"/>
                <w:szCs w:val="20"/>
              </w:rPr>
            </w:pPr>
          </w:p>
          <w:p w:rsidR="0021242B" w:rsidRPr="004B57AC" w:rsidRDefault="0021242B" w:rsidP="001C4039">
            <w:pPr>
              <w:jc w:val="center"/>
              <w:rPr>
                <w:sz w:val="20"/>
                <w:szCs w:val="20"/>
              </w:rPr>
            </w:pPr>
          </w:p>
          <w:p w:rsidR="0021242B" w:rsidRPr="004B57AC" w:rsidRDefault="0021242B" w:rsidP="001C4039">
            <w:pPr>
              <w:jc w:val="center"/>
              <w:rPr>
                <w:sz w:val="20"/>
                <w:szCs w:val="20"/>
              </w:rPr>
            </w:pPr>
            <w:r w:rsidRPr="004B57AC">
              <w:rPr>
                <w:sz w:val="20"/>
                <w:szCs w:val="20"/>
              </w:rPr>
              <w:t>8/22/2012</w:t>
            </w:r>
          </w:p>
        </w:tc>
        <w:tc>
          <w:tcPr>
            <w:tcW w:w="1723" w:type="pct"/>
            <w:shd w:val="pct20" w:color="000000" w:fill="FFFFFF"/>
          </w:tcPr>
          <w:p w:rsidR="0021242B" w:rsidRPr="004B57AC" w:rsidRDefault="0021242B" w:rsidP="001C4039">
            <w:pPr>
              <w:rPr>
                <w:sz w:val="20"/>
                <w:szCs w:val="20"/>
              </w:rPr>
            </w:pPr>
            <w:r w:rsidRPr="004B57AC">
              <w:rPr>
                <w:sz w:val="20"/>
                <w:szCs w:val="20"/>
              </w:rPr>
              <w:t>Updated NTG, EUL, IMC, and savings analysis</w:t>
            </w:r>
          </w:p>
          <w:p w:rsidR="0021242B" w:rsidRPr="004B57AC" w:rsidRDefault="0021242B" w:rsidP="001C4039">
            <w:pPr>
              <w:rPr>
                <w:sz w:val="20"/>
                <w:szCs w:val="20"/>
              </w:rPr>
            </w:pPr>
          </w:p>
          <w:p w:rsidR="0021242B" w:rsidRPr="004B57AC" w:rsidRDefault="0021242B" w:rsidP="001C4039">
            <w:pPr>
              <w:rPr>
                <w:sz w:val="20"/>
                <w:szCs w:val="20"/>
              </w:rPr>
            </w:pPr>
            <w:r w:rsidRPr="004B57AC">
              <w:rPr>
                <w:sz w:val="20"/>
                <w:szCs w:val="20"/>
              </w:rPr>
              <w:t>Updated BLD, CZ, VIN to ANY per READI tool requirements</w:t>
            </w:r>
          </w:p>
        </w:tc>
        <w:tc>
          <w:tcPr>
            <w:tcW w:w="1708" w:type="pct"/>
            <w:shd w:val="pct20" w:color="000000" w:fill="FFFFFF"/>
            <w:vAlign w:val="center"/>
          </w:tcPr>
          <w:p w:rsidR="0021242B" w:rsidRPr="004B57AC" w:rsidRDefault="0021242B" w:rsidP="001C4039">
            <w:pPr>
              <w:jc w:val="center"/>
              <w:rPr>
                <w:bCs/>
                <w:sz w:val="20"/>
                <w:szCs w:val="20"/>
                <w:lang w:val="de-DE"/>
              </w:rPr>
            </w:pPr>
            <w:r w:rsidRPr="004B57AC">
              <w:rPr>
                <w:bCs/>
                <w:sz w:val="20"/>
                <w:szCs w:val="20"/>
                <w:lang w:val="de-DE"/>
              </w:rPr>
              <w:t>David Zabrowski (Fisher-Nickel, inc.)</w:t>
            </w:r>
          </w:p>
          <w:p w:rsidR="0021242B" w:rsidRPr="004B57AC" w:rsidRDefault="0021242B" w:rsidP="001C4039">
            <w:pPr>
              <w:jc w:val="center"/>
              <w:rPr>
                <w:sz w:val="20"/>
                <w:szCs w:val="20"/>
              </w:rPr>
            </w:pPr>
            <w:r w:rsidRPr="004B57AC">
              <w:rPr>
                <w:bCs/>
                <w:sz w:val="20"/>
                <w:szCs w:val="20"/>
                <w:lang w:val="de-DE"/>
              </w:rPr>
              <w:t>Charlene Spoor (PG&amp;E)</w:t>
            </w:r>
          </w:p>
        </w:tc>
      </w:tr>
      <w:tr w:rsidR="0021242B" w:rsidTr="001C4039">
        <w:trPr>
          <w:trHeight w:val="464"/>
        </w:trPr>
        <w:tc>
          <w:tcPr>
            <w:tcW w:w="928" w:type="pct"/>
            <w:shd w:val="pct20" w:color="000000" w:fill="FFFFFF"/>
            <w:vAlign w:val="center"/>
          </w:tcPr>
          <w:p w:rsidR="0021242B" w:rsidRPr="004B57AC" w:rsidRDefault="0021242B" w:rsidP="001C4039">
            <w:pPr>
              <w:jc w:val="center"/>
              <w:rPr>
                <w:sz w:val="20"/>
                <w:szCs w:val="20"/>
              </w:rPr>
            </w:pPr>
            <w:r w:rsidRPr="004B57AC">
              <w:rPr>
                <w:sz w:val="20"/>
                <w:szCs w:val="20"/>
              </w:rPr>
              <w:t>Revision 5</w:t>
            </w:r>
          </w:p>
        </w:tc>
        <w:tc>
          <w:tcPr>
            <w:tcW w:w="642" w:type="pct"/>
            <w:shd w:val="pct20" w:color="000000" w:fill="FFFFFF"/>
            <w:vAlign w:val="center"/>
          </w:tcPr>
          <w:p w:rsidR="0021242B" w:rsidRPr="004B57AC" w:rsidRDefault="0021242B" w:rsidP="001C4039">
            <w:pPr>
              <w:jc w:val="center"/>
              <w:rPr>
                <w:sz w:val="20"/>
                <w:szCs w:val="20"/>
              </w:rPr>
            </w:pPr>
            <w:r w:rsidRPr="004B57AC">
              <w:rPr>
                <w:sz w:val="20"/>
                <w:szCs w:val="20"/>
              </w:rPr>
              <w:t>3/14/14</w:t>
            </w:r>
          </w:p>
        </w:tc>
        <w:tc>
          <w:tcPr>
            <w:tcW w:w="1723" w:type="pct"/>
            <w:shd w:val="pct20" w:color="000000" w:fill="FFFFFF"/>
          </w:tcPr>
          <w:p w:rsidR="0021242B" w:rsidRPr="004B57AC" w:rsidRDefault="0021242B" w:rsidP="001C4039">
            <w:pPr>
              <w:rPr>
                <w:sz w:val="20"/>
                <w:szCs w:val="20"/>
              </w:rPr>
            </w:pPr>
            <w:r w:rsidRPr="004B57AC">
              <w:rPr>
                <w:sz w:val="20"/>
                <w:szCs w:val="20"/>
              </w:rPr>
              <w:t>Updated  T&amp;C’s to match savings in Energy Star V 2.1, updated cost  and savings data for new level. New WP template.</w:t>
            </w:r>
          </w:p>
        </w:tc>
        <w:tc>
          <w:tcPr>
            <w:tcW w:w="1708" w:type="pct"/>
            <w:shd w:val="pct20" w:color="000000" w:fill="FFFFFF"/>
            <w:vAlign w:val="center"/>
          </w:tcPr>
          <w:p w:rsidR="0021242B" w:rsidRPr="004B57AC" w:rsidRDefault="0021242B" w:rsidP="001C4039">
            <w:pPr>
              <w:jc w:val="center"/>
              <w:rPr>
                <w:bCs/>
                <w:sz w:val="20"/>
                <w:szCs w:val="20"/>
                <w:lang w:val="de-DE"/>
              </w:rPr>
            </w:pPr>
            <w:r w:rsidRPr="004B57AC">
              <w:rPr>
                <w:bCs/>
                <w:sz w:val="20"/>
                <w:szCs w:val="20"/>
                <w:lang w:val="de-DE"/>
              </w:rPr>
              <w:t>David Zabrowdki (Fni) Charlene Spoor (PG&amp;E)</w:t>
            </w:r>
          </w:p>
        </w:tc>
      </w:tr>
      <w:tr w:rsidR="0021242B" w:rsidTr="001C4039">
        <w:trPr>
          <w:trHeight w:val="464"/>
        </w:trPr>
        <w:tc>
          <w:tcPr>
            <w:tcW w:w="928" w:type="pct"/>
            <w:shd w:val="pct20" w:color="000000" w:fill="FFFFFF"/>
            <w:vAlign w:val="center"/>
          </w:tcPr>
          <w:p w:rsidR="0021242B" w:rsidRPr="004B57AC" w:rsidRDefault="0021242B" w:rsidP="001C4039">
            <w:pPr>
              <w:jc w:val="center"/>
              <w:rPr>
                <w:sz w:val="20"/>
                <w:szCs w:val="20"/>
              </w:rPr>
            </w:pPr>
            <w:r w:rsidRPr="004B57AC">
              <w:rPr>
                <w:sz w:val="20"/>
                <w:szCs w:val="20"/>
              </w:rPr>
              <w:t>Revision 6</w:t>
            </w:r>
          </w:p>
        </w:tc>
        <w:tc>
          <w:tcPr>
            <w:tcW w:w="642" w:type="pct"/>
            <w:shd w:val="pct20" w:color="000000" w:fill="FFFFFF"/>
            <w:vAlign w:val="center"/>
          </w:tcPr>
          <w:p w:rsidR="0021242B" w:rsidRPr="004B57AC" w:rsidRDefault="0021242B" w:rsidP="0021242B">
            <w:pPr>
              <w:jc w:val="center"/>
              <w:rPr>
                <w:sz w:val="20"/>
                <w:szCs w:val="20"/>
              </w:rPr>
            </w:pPr>
            <w:r w:rsidRPr="004B57AC">
              <w:rPr>
                <w:sz w:val="20"/>
                <w:szCs w:val="20"/>
              </w:rPr>
              <w:t>3/25/2016</w:t>
            </w:r>
          </w:p>
        </w:tc>
        <w:tc>
          <w:tcPr>
            <w:tcW w:w="1723" w:type="pct"/>
            <w:shd w:val="pct20" w:color="000000" w:fill="FFFFFF"/>
          </w:tcPr>
          <w:p w:rsidR="0021242B" w:rsidRPr="004B57AC" w:rsidRDefault="0021242B" w:rsidP="001C4039">
            <w:pPr>
              <w:rPr>
                <w:sz w:val="20"/>
                <w:szCs w:val="20"/>
              </w:rPr>
            </w:pPr>
            <w:r w:rsidRPr="004B57AC">
              <w:rPr>
                <w:sz w:val="20"/>
                <w:szCs w:val="20"/>
              </w:rPr>
              <w:t>Updated Format</w:t>
            </w:r>
          </w:p>
        </w:tc>
        <w:tc>
          <w:tcPr>
            <w:tcW w:w="1708" w:type="pct"/>
            <w:shd w:val="pct20" w:color="000000" w:fill="FFFFFF"/>
            <w:vAlign w:val="center"/>
          </w:tcPr>
          <w:p w:rsidR="0021242B" w:rsidRPr="004B57AC" w:rsidRDefault="0021242B" w:rsidP="001C4039">
            <w:pPr>
              <w:jc w:val="center"/>
              <w:rPr>
                <w:bCs/>
                <w:sz w:val="20"/>
                <w:szCs w:val="20"/>
                <w:lang w:val="de-DE"/>
              </w:rPr>
            </w:pPr>
            <w:r w:rsidRPr="004B57AC">
              <w:rPr>
                <w:bCs/>
                <w:sz w:val="20"/>
                <w:szCs w:val="20"/>
                <w:lang w:val="de-DE"/>
              </w:rPr>
              <w:t>Denis Livchak (Fisher-Nickel)</w:t>
            </w:r>
          </w:p>
        </w:tc>
      </w:tr>
      <w:tr w:rsidR="008A2851" w:rsidTr="001C4039">
        <w:trPr>
          <w:trHeight w:val="464"/>
        </w:trPr>
        <w:tc>
          <w:tcPr>
            <w:tcW w:w="928" w:type="pct"/>
            <w:shd w:val="pct20" w:color="000000" w:fill="FFFFFF"/>
            <w:vAlign w:val="center"/>
          </w:tcPr>
          <w:p w:rsidR="008A2851" w:rsidRPr="004B57AC" w:rsidRDefault="008A2851" w:rsidP="001C4039">
            <w:pPr>
              <w:jc w:val="center"/>
              <w:rPr>
                <w:sz w:val="20"/>
                <w:szCs w:val="20"/>
              </w:rPr>
            </w:pPr>
            <w:r w:rsidRPr="004B57AC">
              <w:rPr>
                <w:sz w:val="20"/>
                <w:szCs w:val="20"/>
              </w:rPr>
              <w:t>Revision 6</w:t>
            </w:r>
          </w:p>
        </w:tc>
        <w:tc>
          <w:tcPr>
            <w:tcW w:w="642" w:type="pct"/>
            <w:shd w:val="pct20" w:color="000000" w:fill="FFFFFF"/>
            <w:vAlign w:val="center"/>
          </w:tcPr>
          <w:p w:rsidR="008A2851" w:rsidRPr="004B57AC" w:rsidRDefault="008A2851" w:rsidP="0021242B">
            <w:pPr>
              <w:jc w:val="center"/>
              <w:rPr>
                <w:sz w:val="20"/>
                <w:szCs w:val="20"/>
              </w:rPr>
            </w:pPr>
            <w:r>
              <w:rPr>
                <w:sz w:val="20"/>
                <w:szCs w:val="20"/>
              </w:rPr>
              <w:t>8/8/2016</w:t>
            </w:r>
          </w:p>
        </w:tc>
        <w:tc>
          <w:tcPr>
            <w:tcW w:w="1723" w:type="pct"/>
            <w:shd w:val="pct20" w:color="000000" w:fill="FFFFFF"/>
          </w:tcPr>
          <w:p w:rsidR="008A2851" w:rsidRPr="004B57AC" w:rsidRDefault="008A2851" w:rsidP="001C4039">
            <w:pPr>
              <w:rPr>
                <w:sz w:val="20"/>
                <w:szCs w:val="20"/>
              </w:rPr>
            </w:pPr>
            <w:r>
              <w:rPr>
                <w:sz w:val="20"/>
                <w:szCs w:val="20"/>
              </w:rPr>
              <w:t>The 30% UES reduction was dropped and it is incorporated in this revision. Updated calc tables to match online calculator ; updated formulas and incorporated  examples</w:t>
            </w:r>
          </w:p>
        </w:tc>
        <w:tc>
          <w:tcPr>
            <w:tcW w:w="1708" w:type="pct"/>
            <w:shd w:val="pct20" w:color="000000" w:fill="FFFFFF"/>
            <w:vAlign w:val="center"/>
          </w:tcPr>
          <w:p w:rsidR="008A2851" w:rsidRDefault="008A2851" w:rsidP="008A2851">
            <w:pPr>
              <w:rPr>
                <w:sz w:val="20"/>
                <w:szCs w:val="20"/>
              </w:rPr>
            </w:pPr>
            <w:r>
              <w:rPr>
                <w:sz w:val="20"/>
                <w:szCs w:val="20"/>
              </w:rPr>
              <w:t xml:space="preserve">         </w:t>
            </w:r>
            <w:r w:rsidRPr="00C86F50">
              <w:rPr>
                <w:sz w:val="20"/>
                <w:szCs w:val="20"/>
              </w:rPr>
              <w:t>Alina Zohrabian (PG&amp;E)</w:t>
            </w:r>
          </w:p>
          <w:p w:rsidR="008A2851" w:rsidRPr="004B57AC" w:rsidRDefault="008A2851" w:rsidP="008A2851">
            <w:pPr>
              <w:jc w:val="center"/>
              <w:rPr>
                <w:bCs/>
                <w:sz w:val="20"/>
                <w:szCs w:val="20"/>
                <w:lang w:val="de-DE"/>
              </w:rPr>
            </w:pPr>
            <w:r>
              <w:rPr>
                <w:sz w:val="20"/>
                <w:szCs w:val="20"/>
              </w:rPr>
              <w:t>Mini Damodaran (PG&amp;E)</w:t>
            </w:r>
          </w:p>
        </w:tc>
      </w:tr>
    </w:tbl>
    <w:p w:rsidR="00F578B9" w:rsidRDefault="00F578B9" w:rsidP="00F578B9">
      <w:pPr>
        <w:pStyle w:val="Heading1"/>
      </w:pPr>
      <w:r w:rsidRPr="00810EC1">
        <w:rPr>
          <w:rFonts w:ascii="Times New Roman" w:hAnsi="Times New Roman"/>
          <w:b w:val="0"/>
          <w:bCs w:val="0"/>
          <w:kern w:val="0"/>
          <w:sz w:val="24"/>
          <w:szCs w:val="24"/>
          <w:lang w:val="de-DE"/>
        </w:rPr>
        <w:br w:type="page"/>
      </w:r>
      <w:bookmarkStart w:id="9" w:name="_Toc458439231"/>
      <w:r>
        <w:lastRenderedPageBreak/>
        <w:t>Table of Contents</w:t>
      </w:r>
      <w:bookmarkEnd w:id="9"/>
    </w:p>
    <w:p w:rsidR="00733FAC" w:rsidRDefault="00F578B9">
      <w:pPr>
        <w:pStyle w:val="TOC1"/>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458439228" w:history="1">
        <w:r w:rsidR="00733FAC" w:rsidRPr="00F14DBE">
          <w:rPr>
            <w:rStyle w:val="Hyperlink"/>
          </w:rPr>
          <w:t>At a Glance Summary – Electric Convection Ovens</w:t>
        </w:r>
        <w:r w:rsidR="00733FAC">
          <w:rPr>
            <w:webHidden/>
          </w:rPr>
          <w:tab/>
        </w:r>
        <w:r w:rsidR="00733FAC">
          <w:rPr>
            <w:webHidden/>
          </w:rPr>
          <w:fldChar w:fldCharType="begin"/>
        </w:r>
        <w:r w:rsidR="00733FAC">
          <w:rPr>
            <w:webHidden/>
          </w:rPr>
          <w:instrText xml:space="preserve"> PAGEREF _Toc458439228 \h </w:instrText>
        </w:r>
        <w:r w:rsidR="00733FAC">
          <w:rPr>
            <w:webHidden/>
          </w:rPr>
        </w:r>
        <w:r w:rsidR="00733FAC">
          <w:rPr>
            <w:webHidden/>
          </w:rPr>
          <w:fldChar w:fldCharType="separate"/>
        </w:r>
        <w:r w:rsidR="00733FAC">
          <w:rPr>
            <w:webHidden/>
          </w:rPr>
          <w:t>ii</w:t>
        </w:r>
        <w:r w:rsidR="00733FAC">
          <w:rPr>
            <w:webHidden/>
          </w:rPr>
          <w:fldChar w:fldCharType="end"/>
        </w:r>
      </w:hyperlink>
    </w:p>
    <w:p w:rsidR="00733FAC" w:rsidRDefault="00D1774C">
      <w:pPr>
        <w:pStyle w:val="TOC1"/>
        <w:rPr>
          <w:rFonts w:asciiTheme="minorHAnsi" w:eastAsiaTheme="minorEastAsia" w:hAnsiTheme="minorHAnsi" w:cstheme="minorBidi"/>
          <w:sz w:val="22"/>
          <w:szCs w:val="22"/>
        </w:rPr>
      </w:pPr>
      <w:hyperlink w:anchor="_Toc458439229" w:history="1">
        <w:r w:rsidR="00733FAC" w:rsidRPr="00F14DBE">
          <w:rPr>
            <w:rStyle w:val="Hyperlink"/>
          </w:rPr>
          <w:t>At a Glance Summary – Gas Convection Ovens</w:t>
        </w:r>
        <w:r w:rsidR="00733FAC">
          <w:rPr>
            <w:webHidden/>
          </w:rPr>
          <w:tab/>
        </w:r>
        <w:r w:rsidR="00733FAC">
          <w:rPr>
            <w:webHidden/>
          </w:rPr>
          <w:fldChar w:fldCharType="begin"/>
        </w:r>
        <w:r w:rsidR="00733FAC">
          <w:rPr>
            <w:webHidden/>
          </w:rPr>
          <w:instrText xml:space="preserve"> PAGEREF _Toc458439229 \h </w:instrText>
        </w:r>
        <w:r w:rsidR="00733FAC">
          <w:rPr>
            <w:webHidden/>
          </w:rPr>
        </w:r>
        <w:r w:rsidR="00733FAC">
          <w:rPr>
            <w:webHidden/>
          </w:rPr>
          <w:fldChar w:fldCharType="separate"/>
        </w:r>
        <w:r w:rsidR="00733FAC">
          <w:rPr>
            <w:webHidden/>
          </w:rPr>
          <w:t>iii</w:t>
        </w:r>
        <w:r w:rsidR="00733FAC">
          <w:rPr>
            <w:webHidden/>
          </w:rPr>
          <w:fldChar w:fldCharType="end"/>
        </w:r>
      </w:hyperlink>
    </w:p>
    <w:p w:rsidR="00733FAC" w:rsidRDefault="00D1774C">
      <w:pPr>
        <w:pStyle w:val="TOC1"/>
        <w:rPr>
          <w:rFonts w:asciiTheme="minorHAnsi" w:eastAsiaTheme="minorEastAsia" w:hAnsiTheme="minorHAnsi" w:cstheme="minorBidi"/>
          <w:sz w:val="22"/>
          <w:szCs w:val="22"/>
        </w:rPr>
      </w:pPr>
      <w:hyperlink w:anchor="_Toc458439230" w:history="1">
        <w:r w:rsidR="00733FAC" w:rsidRPr="00F14DBE">
          <w:rPr>
            <w:rStyle w:val="Hyperlink"/>
          </w:rPr>
          <w:t>Document Revision History</w:t>
        </w:r>
        <w:r w:rsidR="00733FAC">
          <w:rPr>
            <w:webHidden/>
          </w:rPr>
          <w:tab/>
        </w:r>
        <w:r w:rsidR="00733FAC">
          <w:rPr>
            <w:webHidden/>
          </w:rPr>
          <w:fldChar w:fldCharType="begin"/>
        </w:r>
        <w:r w:rsidR="00733FAC">
          <w:rPr>
            <w:webHidden/>
          </w:rPr>
          <w:instrText xml:space="preserve"> PAGEREF _Toc458439230 \h </w:instrText>
        </w:r>
        <w:r w:rsidR="00733FAC">
          <w:rPr>
            <w:webHidden/>
          </w:rPr>
        </w:r>
        <w:r w:rsidR="00733FAC">
          <w:rPr>
            <w:webHidden/>
          </w:rPr>
          <w:fldChar w:fldCharType="separate"/>
        </w:r>
        <w:r w:rsidR="00733FAC">
          <w:rPr>
            <w:webHidden/>
          </w:rPr>
          <w:t>4</w:t>
        </w:r>
        <w:r w:rsidR="00733FAC">
          <w:rPr>
            <w:webHidden/>
          </w:rPr>
          <w:fldChar w:fldCharType="end"/>
        </w:r>
      </w:hyperlink>
    </w:p>
    <w:p w:rsidR="00733FAC" w:rsidRDefault="00D1774C">
      <w:pPr>
        <w:pStyle w:val="TOC1"/>
        <w:rPr>
          <w:rFonts w:asciiTheme="minorHAnsi" w:eastAsiaTheme="minorEastAsia" w:hAnsiTheme="minorHAnsi" w:cstheme="minorBidi"/>
          <w:sz w:val="22"/>
          <w:szCs w:val="22"/>
        </w:rPr>
      </w:pPr>
      <w:hyperlink w:anchor="_Toc458439231" w:history="1">
        <w:r w:rsidR="00733FAC" w:rsidRPr="00F14DBE">
          <w:rPr>
            <w:rStyle w:val="Hyperlink"/>
          </w:rPr>
          <w:t>Table of Contents</w:t>
        </w:r>
        <w:r w:rsidR="00733FAC">
          <w:rPr>
            <w:webHidden/>
          </w:rPr>
          <w:tab/>
        </w:r>
        <w:r w:rsidR="00733FAC">
          <w:rPr>
            <w:webHidden/>
          </w:rPr>
          <w:fldChar w:fldCharType="begin"/>
        </w:r>
        <w:r w:rsidR="00733FAC">
          <w:rPr>
            <w:webHidden/>
          </w:rPr>
          <w:instrText xml:space="preserve"> PAGEREF _Toc458439231 \h </w:instrText>
        </w:r>
        <w:r w:rsidR="00733FAC">
          <w:rPr>
            <w:webHidden/>
          </w:rPr>
        </w:r>
        <w:r w:rsidR="00733FAC">
          <w:rPr>
            <w:webHidden/>
          </w:rPr>
          <w:fldChar w:fldCharType="separate"/>
        </w:r>
        <w:r w:rsidR="00733FAC">
          <w:rPr>
            <w:webHidden/>
          </w:rPr>
          <w:t>5</w:t>
        </w:r>
        <w:r w:rsidR="00733FAC">
          <w:rPr>
            <w:webHidden/>
          </w:rPr>
          <w:fldChar w:fldCharType="end"/>
        </w:r>
      </w:hyperlink>
    </w:p>
    <w:p w:rsidR="00733FAC" w:rsidRDefault="00D1774C">
      <w:pPr>
        <w:pStyle w:val="TOC1"/>
        <w:rPr>
          <w:rFonts w:asciiTheme="minorHAnsi" w:eastAsiaTheme="minorEastAsia" w:hAnsiTheme="minorHAnsi" w:cstheme="minorBidi"/>
          <w:sz w:val="22"/>
          <w:szCs w:val="22"/>
        </w:rPr>
      </w:pPr>
      <w:hyperlink w:anchor="_Toc458439232" w:history="1">
        <w:r w:rsidR="00733FAC" w:rsidRPr="00F14DBE">
          <w:rPr>
            <w:rStyle w:val="Hyperlink"/>
          </w:rPr>
          <w:t>List of Tables</w:t>
        </w:r>
        <w:r w:rsidR="00733FAC">
          <w:rPr>
            <w:webHidden/>
          </w:rPr>
          <w:tab/>
        </w:r>
        <w:r w:rsidR="00733FAC">
          <w:rPr>
            <w:webHidden/>
          </w:rPr>
          <w:fldChar w:fldCharType="begin"/>
        </w:r>
        <w:r w:rsidR="00733FAC">
          <w:rPr>
            <w:webHidden/>
          </w:rPr>
          <w:instrText xml:space="preserve"> PAGEREF _Toc458439232 \h </w:instrText>
        </w:r>
        <w:r w:rsidR="00733FAC">
          <w:rPr>
            <w:webHidden/>
          </w:rPr>
        </w:r>
        <w:r w:rsidR="00733FAC">
          <w:rPr>
            <w:webHidden/>
          </w:rPr>
          <w:fldChar w:fldCharType="separate"/>
        </w:r>
        <w:r w:rsidR="00733FAC">
          <w:rPr>
            <w:webHidden/>
          </w:rPr>
          <w:t>6</w:t>
        </w:r>
        <w:r w:rsidR="00733FAC">
          <w:rPr>
            <w:webHidden/>
          </w:rPr>
          <w:fldChar w:fldCharType="end"/>
        </w:r>
      </w:hyperlink>
    </w:p>
    <w:p w:rsidR="00733FAC" w:rsidRDefault="00D1774C">
      <w:pPr>
        <w:pStyle w:val="TOC1"/>
        <w:rPr>
          <w:rFonts w:asciiTheme="minorHAnsi" w:eastAsiaTheme="minorEastAsia" w:hAnsiTheme="minorHAnsi" w:cstheme="minorBidi"/>
          <w:sz w:val="22"/>
          <w:szCs w:val="22"/>
        </w:rPr>
      </w:pPr>
      <w:hyperlink w:anchor="_Toc458439233" w:history="1">
        <w:r w:rsidR="00733FAC" w:rsidRPr="00F14DBE">
          <w:rPr>
            <w:rStyle w:val="Hyperlink"/>
          </w:rPr>
          <w:t>Section 1. General Measure &amp; Baseline Data</w:t>
        </w:r>
        <w:r w:rsidR="00733FAC">
          <w:rPr>
            <w:webHidden/>
          </w:rPr>
          <w:tab/>
        </w:r>
        <w:r w:rsidR="00733FAC">
          <w:rPr>
            <w:webHidden/>
          </w:rPr>
          <w:fldChar w:fldCharType="begin"/>
        </w:r>
        <w:r w:rsidR="00733FAC">
          <w:rPr>
            <w:webHidden/>
          </w:rPr>
          <w:instrText xml:space="preserve"> PAGEREF _Toc458439233 \h </w:instrText>
        </w:r>
        <w:r w:rsidR="00733FAC">
          <w:rPr>
            <w:webHidden/>
          </w:rPr>
        </w:r>
        <w:r w:rsidR="00733FAC">
          <w:rPr>
            <w:webHidden/>
          </w:rPr>
          <w:fldChar w:fldCharType="separate"/>
        </w:r>
        <w:r w:rsidR="00733FAC">
          <w:rPr>
            <w:webHidden/>
          </w:rPr>
          <w:t>7</w:t>
        </w:r>
        <w:r w:rsidR="00733FAC">
          <w:rPr>
            <w:webHidden/>
          </w:rPr>
          <w:fldChar w:fldCharType="end"/>
        </w:r>
      </w:hyperlink>
    </w:p>
    <w:p w:rsidR="00733FAC" w:rsidRDefault="00D1774C">
      <w:pPr>
        <w:pStyle w:val="TOC2"/>
        <w:tabs>
          <w:tab w:val="right" w:leader="dot" w:pos="9350"/>
        </w:tabs>
        <w:rPr>
          <w:rFonts w:asciiTheme="minorHAnsi" w:eastAsiaTheme="minorEastAsia" w:hAnsiTheme="minorHAnsi" w:cstheme="minorBidi"/>
          <w:noProof/>
          <w:sz w:val="22"/>
          <w:szCs w:val="22"/>
        </w:rPr>
      </w:pPr>
      <w:hyperlink w:anchor="_Toc458439234" w:history="1">
        <w:r w:rsidR="00733FAC" w:rsidRPr="00F14DBE">
          <w:rPr>
            <w:rStyle w:val="Hyperlink"/>
            <w:noProof/>
          </w:rPr>
          <w:t>1.1 Product Measure Description &amp; Background</w:t>
        </w:r>
        <w:r w:rsidR="00733FAC">
          <w:rPr>
            <w:noProof/>
            <w:webHidden/>
          </w:rPr>
          <w:tab/>
        </w:r>
        <w:r w:rsidR="00733FAC">
          <w:rPr>
            <w:noProof/>
            <w:webHidden/>
          </w:rPr>
          <w:fldChar w:fldCharType="begin"/>
        </w:r>
        <w:r w:rsidR="00733FAC">
          <w:rPr>
            <w:noProof/>
            <w:webHidden/>
          </w:rPr>
          <w:instrText xml:space="preserve"> PAGEREF _Toc458439234 \h </w:instrText>
        </w:r>
        <w:r w:rsidR="00733FAC">
          <w:rPr>
            <w:noProof/>
            <w:webHidden/>
          </w:rPr>
        </w:r>
        <w:r w:rsidR="00733FAC">
          <w:rPr>
            <w:noProof/>
            <w:webHidden/>
          </w:rPr>
          <w:fldChar w:fldCharType="separate"/>
        </w:r>
        <w:r w:rsidR="00733FAC">
          <w:rPr>
            <w:noProof/>
            <w:webHidden/>
          </w:rPr>
          <w:t>7</w:t>
        </w:r>
        <w:r w:rsidR="00733FAC">
          <w:rPr>
            <w:noProof/>
            <w:webHidden/>
          </w:rPr>
          <w:fldChar w:fldCharType="end"/>
        </w:r>
      </w:hyperlink>
    </w:p>
    <w:p w:rsidR="00733FAC" w:rsidRDefault="00D1774C">
      <w:pPr>
        <w:pStyle w:val="TOC2"/>
        <w:tabs>
          <w:tab w:val="right" w:leader="dot" w:pos="9350"/>
        </w:tabs>
        <w:rPr>
          <w:rFonts w:asciiTheme="minorHAnsi" w:eastAsiaTheme="minorEastAsia" w:hAnsiTheme="minorHAnsi" w:cstheme="minorBidi"/>
          <w:noProof/>
          <w:sz w:val="22"/>
          <w:szCs w:val="22"/>
        </w:rPr>
      </w:pPr>
      <w:hyperlink w:anchor="_Toc458439235" w:history="1">
        <w:r w:rsidR="00733FAC" w:rsidRPr="00F14DBE">
          <w:rPr>
            <w:rStyle w:val="Hyperlink"/>
            <w:noProof/>
          </w:rPr>
          <w:t>1.1 Measure Description &amp; Background</w:t>
        </w:r>
        <w:r w:rsidR="00733FAC">
          <w:rPr>
            <w:noProof/>
            <w:webHidden/>
          </w:rPr>
          <w:tab/>
        </w:r>
        <w:r w:rsidR="00733FAC">
          <w:rPr>
            <w:noProof/>
            <w:webHidden/>
          </w:rPr>
          <w:fldChar w:fldCharType="begin"/>
        </w:r>
        <w:r w:rsidR="00733FAC">
          <w:rPr>
            <w:noProof/>
            <w:webHidden/>
          </w:rPr>
          <w:instrText xml:space="preserve"> PAGEREF _Toc458439235 \h </w:instrText>
        </w:r>
        <w:r w:rsidR="00733FAC">
          <w:rPr>
            <w:noProof/>
            <w:webHidden/>
          </w:rPr>
        </w:r>
        <w:r w:rsidR="00733FAC">
          <w:rPr>
            <w:noProof/>
            <w:webHidden/>
          </w:rPr>
          <w:fldChar w:fldCharType="separate"/>
        </w:r>
        <w:r w:rsidR="00733FAC">
          <w:rPr>
            <w:noProof/>
            <w:webHidden/>
          </w:rPr>
          <w:t>7</w:t>
        </w:r>
        <w:r w:rsidR="00733FAC">
          <w:rPr>
            <w:noProof/>
            <w:webHidden/>
          </w:rPr>
          <w:fldChar w:fldCharType="end"/>
        </w:r>
      </w:hyperlink>
    </w:p>
    <w:p w:rsidR="00733FAC" w:rsidRDefault="00D1774C">
      <w:pPr>
        <w:pStyle w:val="TOC2"/>
        <w:tabs>
          <w:tab w:val="right" w:leader="dot" w:pos="9350"/>
        </w:tabs>
        <w:rPr>
          <w:rFonts w:asciiTheme="minorHAnsi" w:eastAsiaTheme="minorEastAsia" w:hAnsiTheme="minorHAnsi" w:cstheme="minorBidi"/>
          <w:noProof/>
          <w:sz w:val="22"/>
          <w:szCs w:val="22"/>
        </w:rPr>
      </w:pPr>
      <w:hyperlink w:anchor="_Toc458439236" w:history="1">
        <w:r w:rsidR="00733FAC" w:rsidRPr="00F14DBE">
          <w:rPr>
            <w:rStyle w:val="Hyperlink"/>
            <w:noProof/>
          </w:rPr>
          <w:t>1.2 Product Technical Description</w:t>
        </w:r>
        <w:r w:rsidR="00733FAC">
          <w:rPr>
            <w:noProof/>
            <w:webHidden/>
          </w:rPr>
          <w:tab/>
        </w:r>
        <w:r w:rsidR="00733FAC">
          <w:rPr>
            <w:noProof/>
            <w:webHidden/>
          </w:rPr>
          <w:fldChar w:fldCharType="begin"/>
        </w:r>
        <w:r w:rsidR="00733FAC">
          <w:rPr>
            <w:noProof/>
            <w:webHidden/>
          </w:rPr>
          <w:instrText xml:space="preserve"> PAGEREF _Toc458439236 \h </w:instrText>
        </w:r>
        <w:r w:rsidR="00733FAC">
          <w:rPr>
            <w:noProof/>
            <w:webHidden/>
          </w:rPr>
        </w:r>
        <w:r w:rsidR="00733FAC">
          <w:rPr>
            <w:noProof/>
            <w:webHidden/>
          </w:rPr>
          <w:fldChar w:fldCharType="separate"/>
        </w:r>
        <w:r w:rsidR="00733FAC">
          <w:rPr>
            <w:noProof/>
            <w:webHidden/>
          </w:rPr>
          <w:t>8</w:t>
        </w:r>
        <w:r w:rsidR="00733FAC">
          <w:rPr>
            <w:noProof/>
            <w:webHidden/>
          </w:rPr>
          <w:fldChar w:fldCharType="end"/>
        </w:r>
      </w:hyperlink>
    </w:p>
    <w:p w:rsidR="00733FAC" w:rsidRDefault="00D1774C">
      <w:pPr>
        <w:pStyle w:val="TOC2"/>
        <w:tabs>
          <w:tab w:val="right" w:leader="dot" w:pos="9350"/>
        </w:tabs>
        <w:rPr>
          <w:rFonts w:asciiTheme="minorHAnsi" w:eastAsiaTheme="minorEastAsia" w:hAnsiTheme="minorHAnsi" w:cstheme="minorBidi"/>
          <w:noProof/>
          <w:sz w:val="22"/>
          <w:szCs w:val="22"/>
        </w:rPr>
      </w:pPr>
      <w:hyperlink w:anchor="_Toc458439237" w:history="1">
        <w:r w:rsidR="00733FAC" w:rsidRPr="00F14DBE">
          <w:rPr>
            <w:rStyle w:val="Hyperlink"/>
            <w:noProof/>
          </w:rPr>
          <w:t>1.3 Measure Application Types</w:t>
        </w:r>
        <w:r w:rsidR="00733FAC">
          <w:rPr>
            <w:noProof/>
            <w:webHidden/>
          </w:rPr>
          <w:tab/>
        </w:r>
        <w:r w:rsidR="00733FAC">
          <w:rPr>
            <w:noProof/>
            <w:webHidden/>
          </w:rPr>
          <w:fldChar w:fldCharType="begin"/>
        </w:r>
        <w:r w:rsidR="00733FAC">
          <w:rPr>
            <w:noProof/>
            <w:webHidden/>
          </w:rPr>
          <w:instrText xml:space="preserve"> PAGEREF _Toc458439237 \h </w:instrText>
        </w:r>
        <w:r w:rsidR="00733FAC">
          <w:rPr>
            <w:noProof/>
            <w:webHidden/>
          </w:rPr>
        </w:r>
        <w:r w:rsidR="00733FAC">
          <w:rPr>
            <w:noProof/>
            <w:webHidden/>
          </w:rPr>
          <w:fldChar w:fldCharType="separate"/>
        </w:r>
        <w:r w:rsidR="00733FAC">
          <w:rPr>
            <w:noProof/>
            <w:webHidden/>
          </w:rPr>
          <w:t>9</w:t>
        </w:r>
        <w:r w:rsidR="00733FAC">
          <w:rPr>
            <w:noProof/>
            <w:webHidden/>
          </w:rPr>
          <w:fldChar w:fldCharType="end"/>
        </w:r>
      </w:hyperlink>
    </w:p>
    <w:p w:rsidR="00733FAC" w:rsidRDefault="00D1774C">
      <w:pPr>
        <w:pStyle w:val="TOC2"/>
        <w:tabs>
          <w:tab w:val="right" w:leader="dot" w:pos="9350"/>
        </w:tabs>
        <w:rPr>
          <w:rFonts w:asciiTheme="minorHAnsi" w:eastAsiaTheme="minorEastAsia" w:hAnsiTheme="minorHAnsi" w:cstheme="minorBidi"/>
          <w:noProof/>
          <w:sz w:val="22"/>
          <w:szCs w:val="22"/>
        </w:rPr>
      </w:pPr>
      <w:hyperlink w:anchor="_Toc458439238" w:history="1">
        <w:r w:rsidR="00733FAC" w:rsidRPr="00F14DBE">
          <w:rPr>
            <w:rStyle w:val="Hyperlink"/>
            <w:noProof/>
          </w:rPr>
          <w:t>1.4 Product Base Case and Measure Case Data</w:t>
        </w:r>
        <w:r w:rsidR="00733FAC">
          <w:rPr>
            <w:noProof/>
            <w:webHidden/>
          </w:rPr>
          <w:tab/>
        </w:r>
        <w:r w:rsidR="00733FAC">
          <w:rPr>
            <w:noProof/>
            <w:webHidden/>
          </w:rPr>
          <w:fldChar w:fldCharType="begin"/>
        </w:r>
        <w:r w:rsidR="00733FAC">
          <w:rPr>
            <w:noProof/>
            <w:webHidden/>
          </w:rPr>
          <w:instrText xml:space="preserve"> PAGEREF _Toc458439238 \h </w:instrText>
        </w:r>
        <w:r w:rsidR="00733FAC">
          <w:rPr>
            <w:noProof/>
            <w:webHidden/>
          </w:rPr>
        </w:r>
        <w:r w:rsidR="00733FAC">
          <w:rPr>
            <w:noProof/>
            <w:webHidden/>
          </w:rPr>
          <w:fldChar w:fldCharType="separate"/>
        </w:r>
        <w:r w:rsidR="00733FAC">
          <w:rPr>
            <w:noProof/>
            <w:webHidden/>
          </w:rPr>
          <w:t>9</w:t>
        </w:r>
        <w:r w:rsidR="00733FAC">
          <w:rPr>
            <w:noProof/>
            <w:webHidden/>
          </w:rPr>
          <w:fldChar w:fldCharType="end"/>
        </w:r>
      </w:hyperlink>
    </w:p>
    <w:p w:rsidR="00733FAC" w:rsidRDefault="00D1774C">
      <w:pPr>
        <w:pStyle w:val="TOC3"/>
        <w:tabs>
          <w:tab w:val="right" w:leader="dot" w:pos="9350"/>
        </w:tabs>
        <w:rPr>
          <w:rFonts w:asciiTheme="minorHAnsi" w:eastAsiaTheme="minorEastAsia" w:hAnsiTheme="minorHAnsi" w:cstheme="minorBidi"/>
          <w:noProof/>
          <w:sz w:val="22"/>
          <w:szCs w:val="22"/>
        </w:rPr>
      </w:pPr>
      <w:hyperlink w:anchor="_Toc458439239" w:history="1">
        <w:r w:rsidR="00733FAC" w:rsidRPr="00F14DBE">
          <w:rPr>
            <w:rStyle w:val="Hyperlink"/>
            <w:noProof/>
          </w:rPr>
          <w:t>1.4.1 DEER Base Case and Measure Case Information</w:t>
        </w:r>
        <w:r w:rsidR="00733FAC">
          <w:rPr>
            <w:noProof/>
            <w:webHidden/>
          </w:rPr>
          <w:tab/>
        </w:r>
        <w:r w:rsidR="00733FAC">
          <w:rPr>
            <w:noProof/>
            <w:webHidden/>
          </w:rPr>
          <w:fldChar w:fldCharType="begin"/>
        </w:r>
        <w:r w:rsidR="00733FAC">
          <w:rPr>
            <w:noProof/>
            <w:webHidden/>
          </w:rPr>
          <w:instrText xml:space="preserve"> PAGEREF _Toc458439239 \h </w:instrText>
        </w:r>
        <w:r w:rsidR="00733FAC">
          <w:rPr>
            <w:noProof/>
            <w:webHidden/>
          </w:rPr>
        </w:r>
        <w:r w:rsidR="00733FAC">
          <w:rPr>
            <w:noProof/>
            <w:webHidden/>
          </w:rPr>
          <w:fldChar w:fldCharType="separate"/>
        </w:r>
        <w:r w:rsidR="00733FAC">
          <w:rPr>
            <w:noProof/>
            <w:webHidden/>
          </w:rPr>
          <w:t>9</w:t>
        </w:r>
        <w:r w:rsidR="00733FAC">
          <w:rPr>
            <w:noProof/>
            <w:webHidden/>
          </w:rPr>
          <w:fldChar w:fldCharType="end"/>
        </w:r>
      </w:hyperlink>
    </w:p>
    <w:p w:rsidR="00733FAC" w:rsidRDefault="00D1774C">
      <w:pPr>
        <w:pStyle w:val="TOC3"/>
        <w:tabs>
          <w:tab w:val="right" w:leader="dot" w:pos="9350"/>
        </w:tabs>
        <w:rPr>
          <w:rFonts w:asciiTheme="minorHAnsi" w:eastAsiaTheme="minorEastAsia" w:hAnsiTheme="minorHAnsi" w:cstheme="minorBidi"/>
          <w:noProof/>
          <w:sz w:val="22"/>
          <w:szCs w:val="22"/>
        </w:rPr>
      </w:pPr>
      <w:hyperlink w:anchor="_Toc458439240" w:history="1">
        <w:r w:rsidR="00733FAC" w:rsidRPr="00F14DBE">
          <w:rPr>
            <w:rStyle w:val="Hyperlink"/>
            <w:noProof/>
          </w:rPr>
          <w:t>1.4.2 Codes &amp; Standards Requirements Base Case and Measure Information</w:t>
        </w:r>
        <w:r w:rsidR="00733FAC">
          <w:rPr>
            <w:noProof/>
            <w:webHidden/>
          </w:rPr>
          <w:tab/>
        </w:r>
        <w:r w:rsidR="00733FAC">
          <w:rPr>
            <w:noProof/>
            <w:webHidden/>
          </w:rPr>
          <w:fldChar w:fldCharType="begin"/>
        </w:r>
        <w:r w:rsidR="00733FAC">
          <w:rPr>
            <w:noProof/>
            <w:webHidden/>
          </w:rPr>
          <w:instrText xml:space="preserve"> PAGEREF _Toc458439240 \h </w:instrText>
        </w:r>
        <w:r w:rsidR="00733FAC">
          <w:rPr>
            <w:noProof/>
            <w:webHidden/>
          </w:rPr>
        </w:r>
        <w:r w:rsidR="00733FAC">
          <w:rPr>
            <w:noProof/>
            <w:webHidden/>
          </w:rPr>
          <w:fldChar w:fldCharType="separate"/>
        </w:r>
        <w:r w:rsidR="00733FAC">
          <w:rPr>
            <w:noProof/>
            <w:webHidden/>
          </w:rPr>
          <w:t>10</w:t>
        </w:r>
        <w:r w:rsidR="00733FAC">
          <w:rPr>
            <w:noProof/>
            <w:webHidden/>
          </w:rPr>
          <w:fldChar w:fldCharType="end"/>
        </w:r>
      </w:hyperlink>
    </w:p>
    <w:p w:rsidR="00733FAC" w:rsidRDefault="00D1774C">
      <w:pPr>
        <w:pStyle w:val="TOC3"/>
        <w:tabs>
          <w:tab w:val="right" w:leader="dot" w:pos="9350"/>
        </w:tabs>
        <w:rPr>
          <w:rFonts w:asciiTheme="minorHAnsi" w:eastAsiaTheme="minorEastAsia" w:hAnsiTheme="minorHAnsi" w:cstheme="minorBidi"/>
          <w:noProof/>
          <w:sz w:val="22"/>
          <w:szCs w:val="22"/>
        </w:rPr>
      </w:pPr>
      <w:hyperlink w:anchor="_Toc458439241" w:history="1">
        <w:r w:rsidR="00733FAC" w:rsidRPr="00F14DBE">
          <w:rPr>
            <w:rStyle w:val="Hyperlink"/>
            <w:noProof/>
          </w:rPr>
          <w:t>1.4.3 EM&amp;V, Market Potential, and Other Studies – Base Case and Measure Case Information</w:t>
        </w:r>
        <w:r w:rsidR="00733FAC">
          <w:rPr>
            <w:noProof/>
            <w:webHidden/>
          </w:rPr>
          <w:tab/>
        </w:r>
        <w:r w:rsidR="00733FAC">
          <w:rPr>
            <w:noProof/>
            <w:webHidden/>
          </w:rPr>
          <w:fldChar w:fldCharType="begin"/>
        </w:r>
        <w:r w:rsidR="00733FAC">
          <w:rPr>
            <w:noProof/>
            <w:webHidden/>
          </w:rPr>
          <w:instrText xml:space="preserve"> PAGEREF _Toc458439241 \h </w:instrText>
        </w:r>
        <w:r w:rsidR="00733FAC">
          <w:rPr>
            <w:noProof/>
            <w:webHidden/>
          </w:rPr>
        </w:r>
        <w:r w:rsidR="00733FAC">
          <w:rPr>
            <w:noProof/>
            <w:webHidden/>
          </w:rPr>
          <w:fldChar w:fldCharType="separate"/>
        </w:r>
        <w:r w:rsidR="00733FAC">
          <w:rPr>
            <w:noProof/>
            <w:webHidden/>
          </w:rPr>
          <w:t>11</w:t>
        </w:r>
        <w:r w:rsidR="00733FAC">
          <w:rPr>
            <w:noProof/>
            <w:webHidden/>
          </w:rPr>
          <w:fldChar w:fldCharType="end"/>
        </w:r>
      </w:hyperlink>
    </w:p>
    <w:p w:rsidR="00733FAC" w:rsidRDefault="00D1774C">
      <w:pPr>
        <w:pStyle w:val="TOC3"/>
        <w:tabs>
          <w:tab w:val="right" w:leader="dot" w:pos="9350"/>
        </w:tabs>
        <w:rPr>
          <w:rFonts w:asciiTheme="minorHAnsi" w:eastAsiaTheme="minorEastAsia" w:hAnsiTheme="minorHAnsi" w:cstheme="minorBidi"/>
          <w:noProof/>
          <w:sz w:val="22"/>
          <w:szCs w:val="22"/>
        </w:rPr>
      </w:pPr>
      <w:hyperlink w:anchor="_Toc458439242" w:history="1">
        <w:r w:rsidR="00733FAC" w:rsidRPr="00F14DBE">
          <w:rPr>
            <w:rStyle w:val="Hyperlink"/>
            <w:noProof/>
          </w:rPr>
          <w:t>1.4.4 Assumptions and Calculations from other sources—Base and Measure Cases</w:t>
        </w:r>
        <w:r w:rsidR="00733FAC">
          <w:rPr>
            <w:noProof/>
            <w:webHidden/>
          </w:rPr>
          <w:tab/>
        </w:r>
        <w:r w:rsidR="00733FAC">
          <w:rPr>
            <w:noProof/>
            <w:webHidden/>
          </w:rPr>
          <w:fldChar w:fldCharType="begin"/>
        </w:r>
        <w:r w:rsidR="00733FAC">
          <w:rPr>
            <w:noProof/>
            <w:webHidden/>
          </w:rPr>
          <w:instrText xml:space="preserve"> PAGEREF _Toc458439242 \h </w:instrText>
        </w:r>
        <w:r w:rsidR="00733FAC">
          <w:rPr>
            <w:noProof/>
            <w:webHidden/>
          </w:rPr>
        </w:r>
        <w:r w:rsidR="00733FAC">
          <w:rPr>
            <w:noProof/>
            <w:webHidden/>
          </w:rPr>
          <w:fldChar w:fldCharType="separate"/>
        </w:r>
        <w:r w:rsidR="00733FAC">
          <w:rPr>
            <w:noProof/>
            <w:webHidden/>
          </w:rPr>
          <w:t>11</w:t>
        </w:r>
        <w:r w:rsidR="00733FAC">
          <w:rPr>
            <w:noProof/>
            <w:webHidden/>
          </w:rPr>
          <w:fldChar w:fldCharType="end"/>
        </w:r>
      </w:hyperlink>
    </w:p>
    <w:p w:rsidR="00733FAC" w:rsidRDefault="00D1774C">
      <w:pPr>
        <w:pStyle w:val="TOC3"/>
        <w:tabs>
          <w:tab w:val="right" w:leader="dot" w:pos="9350"/>
        </w:tabs>
        <w:rPr>
          <w:rFonts w:asciiTheme="minorHAnsi" w:eastAsiaTheme="minorEastAsia" w:hAnsiTheme="minorHAnsi" w:cstheme="minorBidi"/>
          <w:noProof/>
          <w:sz w:val="22"/>
          <w:szCs w:val="22"/>
        </w:rPr>
      </w:pPr>
      <w:hyperlink w:anchor="_Toc458439243" w:history="1">
        <w:r w:rsidR="00733FAC" w:rsidRPr="00F14DBE">
          <w:rPr>
            <w:rStyle w:val="Hyperlink"/>
            <w:noProof/>
          </w:rPr>
          <w:t>1.4.5 Time of use Adjustment Factor</w:t>
        </w:r>
        <w:r w:rsidR="00733FAC">
          <w:rPr>
            <w:noProof/>
            <w:webHidden/>
          </w:rPr>
          <w:tab/>
        </w:r>
        <w:r w:rsidR="00733FAC">
          <w:rPr>
            <w:noProof/>
            <w:webHidden/>
          </w:rPr>
          <w:fldChar w:fldCharType="begin"/>
        </w:r>
        <w:r w:rsidR="00733FAC">
          <w:rPr>
            <w:noProof/>
            <w:webHidden/>
          </w:rPr>
          <w:instrText xml:space="preserve"> PAGEREF _Toc458439243 \h </w:instrText>
        </w:r>
        <w:r w:rsidR="00733FAC">
          <w:rPr>
            <w:noProof/>
            <w:webHidden/>
          </w:rPr>
        </w:r>
        <w:r w:rsidR="00733FAC">
          <w:rPr>
            <w:noProof/>
            <w:webHidden/>
          </w:rPr>
          <w:fldChar w:fldCharType="separate"/>
        </w:r>
        <w:r w:rsidR="00733FAC">
          <w:rPr>
            <w:noProof/>
            <w:webHidden/>
          </w:rPr>
          <w:t>12</w:t>
        </w:r>
        <w:r w:rsidR="00733FAC">
          <w:rPr>
            <w:noProof/>
            <w:webHidden/>
          </w:rPr>
          <w:fldChar w:fldCharType="end"/>
        </w:r>
      </w:hyperlink>
    </w:p>
    <w:p w:rsidR="00733FAC" w:rsidRDefault="00D1774C">
      <w:pPr>
        <w:pStyle w:val="TOC1"/>
        <w:rPr>
          <w:rFonts w:asciiTheme="minorHAnsi" w:eastAsiaTheme="minorEastAsia" w:hAnsiTheme="minorHAnsi" w:cstheme="minorBidi"/>
          <w:sz w:val="22"/>
          <w:szCs w:val="22"/>
        </w:rPr>
      </w:pPr>
      <w:hyperlink w:anchor="_Toc458439244" w:history="1">
        <w:r w:rsidR="00733FAC" w:rsidRPr="00F14DBE">
          <w:rPr>
            <w:rStyle w:val="Hyperlink"/>
          </w:rPr>
          <w:t>Section 2. Calculation Methods</w:t>
        </w:r>
        <w:r w:rsidR="00733FAC">
          <w:rPr>
            <w:webHidden/>
          </w:rPr>
          <w:tab/>
        </w:r>
        <w:r w:rsidR="00733FAC">
          <w:rPr>
            <w:webHidden/>
          </w:rPr>
          <w:fldChar w:fldCharType="begin"/>
        </w:r>
        <w:r w:rsidR="00733FAC">
          <w:rPr>
            <w:webHidden/>
          </w:rPr>
          <w:instrText xml:space="preserve"> PAGEREF _Toc458439244 \h </w:instrText>
        </w:r>
        <w:r w:rsidR="00733FAC">
          <w:rPr>
            <w:webHidden/>
          </w:rPr>
        </w:r>
        <w:r w:rsidR="00733FAC">
          <w:rPr>
            <w:webHidden/>
          </w:rPr>
          <w:fldChar w:fldCharType="separate"/>
        </w:r>
        <w:r w:rsidR="00733FAC">
          <w:rPr>
            <w:webHidden/>
          </w:rPr>
          <w:t>13</w:t>
        </w:r>
        <w:r w:rsidR="00733FAC">
          <w:rPr>
            <w:webHidden/>
          </w:rPr>
          <w:fldChar w:fldCharType="end"/>
        </w:r>
      </w:hyperlink>
    </w:p>
    <w:p w:rsidR="00733FAC" w:rsidRDefault="00D1774C">
      <w:pPr>
        <w:pStyle w:val="TOC2"/>
        <w:tabs>
          <w:tab w:val="right" w:leader="dot" w:pos="9350"/>
        </w:tabs>
        <w:rPr>
          <w:rFonts w:asciiTheme="minorHAnsi" w:eastAsiaTheme="minorEastAsia" w:hAnsiTheme="minorHAnsi" w:cstheme="minorBidi"/>
          <w:noProof/>
          <w:sz w:val="22"/>
          <w:szCs w:val="22"/>
        </w:rPr>
      </w:pPr>
      <w:hyperlink w:anchor="_Toc458439245" w:history="1">
        <w:r w:rsidR="00733FAC" w:rsidRPr="00F14DBE">
          <w:rPr>
            <w:rStyle w:val="Hyperlink"/>
            <w:noProof/>
          </w:rPr>
          <w:t>2.1 Electric Energy Savings Estimation Methodologies</w:t>
        </w:r>
        <w:r w:rsidR="00733FAC">
          <w:rPr>
            <w:noProof/>
            <w:webHidden/>
          </w:rPr>
          <w:tab/>
        </w:r>
        <w:r w:rsidR="00733FAC">
          <w:rPr>
            <w:noProof/>
            <w:webHidden/>
          </w:rPr>
          <w:fldChar w:fldCharType="begin"/>
        </w:r>
        <w:r w:rsidR="00733FAC">
          <w:rPr>
            <w:noProof/>
            <w:webHidden/>
          </w:rPr>
          <w:instrText xml:space="preserve"> PAGEREF _Toc458439245 \h </w:instrText>
        </w:r>
        <w:r w:rsidR="00733FAC">
          <w:rPr>
            <w:noProof/>
            <w:webHidden/>
          </w:rPr>
        </w:r>
        <w:r w:rsidR="00733FAC">
          <w:rPr>
            <w:noProof/>
            <w:webHidden/>
          </w:rPr>
          <w:fldChar w:fldCharType="separate"/>
        </w:r>
        <w:r w:rsidR="00733FAC">
          <w:rPr>
            <w:noProof/>
            <w:webHidden/>
          </w:rPr>
          <w:t>13</w:t>
        </w:r>
        <w:r w:rsidR="00733FAC">
          <w:rPr>
            <w:noProof/>
            <w:webHidden/>
          </w:rPr>
          <w:fldChar w:fldCharType="end"/>
        </w:r>
      </w:hyperlink>
    </w:p>
    <w:p w:rsidR="00733FAC" w:rsidRDefault="00D1774C">
      <w:pPr>
        <w:pStyle w:val="TOC2"/>
        <w:tabs>
          <w:tab w:val="right" w:leader="dot" w:pos="9350"/>
        </w:tabs>
        <w:rPr>
          <w:rFonts w:asciiTheme="minorHAnsi" w:eastAsiaTheme="minorEastAsia" w:hAnsiTheme="minorHAnsi" w:cstheme="minorBidi"/>
          <w:noProof/>
          <w:sz w:val="22"/>
          <w:szCs w:val="22"/>
        </w:rPr>
      </w:pPr>
      <w:hyperlink w:anchor="_Toc458439246" w:history="1">
        <w:r w:rsidR="00733FAC" w:rsidRPr="00F14DBE">
          <w:rPr>
            <w:rStyle w:val="Hyperlink"/>
            <w:noProof/>
          </w:rPr>
          <w:t>2.2. Demand Reduction Estimation Methodologies</w:t>
        </w:r>
        <w:r w:rsidR="00733FAC">
          <w:rPr>
            <w:noProof/>
            <w:webHidden/>
          </w:rPr>
          <w:tab/>
        </w:r>
        <w:r w:rsidR="00733FAC">
          <w:rPr>
            <w:noProof/>
            <w:webHidden/>
          </w:rPr>
          <w:fldChar w:fldCharType="begin"/>
        </w:r>
        <w:r w:rsidR="00733FAC">
          <w:rPr>
            <w:noProof/>
            <w:webHidden/>
          </w:rPr>
          <w:instrText xml:space="preserve"> PAGEREF _Toc458439246 \h </w:instrText>
        </w:r>
        <w:r w:rsidR="00733FAC">
          <w:rPr>
            <w:noProof/>
            <w:webHidden/>
          </w:rPr>
        </w:r>
        <w:r w:rsidR="00733FAC">
          <w:rPr>
            <w:noProof/>
            <w:webHidden/>
          </w:rPr>
          <w:fldChar w:fldCharType="separate"/>
        </w:r>
        <w:r w:rsidR="00733FAC">
          <w:rPr>
            <w:noProof/>
            <w:webHidden/>
          </w:rPr>
          <w:t>17</w:t>
        </w:r>
        <w:r w:rsidR="00733FAC">
          <w:rPr>
            <w:noProof/>
            <w:webHidden/>
          </w:rPr>
          <w:fldChar w:fldCharType="end"/>
        </w:r>
      </w:hyperlink>
    </w:p>
    <w:p w:rsidR="00733FAC" w:rsidRDefault="00D1774C">
      <w:pPr>
        <w:pStyle w:val="TOC2"/>
        <w:tabs>
          <w:tab w:val="right" w:leader="dot" w:pos="9350"/>
        </w:tabs>
        <w:rPr>
          <w:rFonts w:asciiTheme="minorHAnsi" w:eastAsiaTheme="minorEastAsia" w:hAnsiTheme="minorHAnsi" w:cstheme="minorBidi"/>
          <w:noProof/>
          <w:sz w:val="22"/>
          <w:szCs w:val="22"/>
        </w:rPr>
      </w:pPr>
      <w:hyperlink w:anchor="_Toc458439247" w:history="1">
        <w:r w:rsidR="00733FAC" w:rsidRPr="00F14DBE">
          <w:rPr>
            <w:rStyle w:val="Hyperlink"/>
            <w:noProof/>
          </w:rPr>
          <w:t>2.3. Gas Energy Savings Estimation Methodologies</w:t>
        </w:r>
        <w:r w:rsidR="00733FAC">
          <w:rPr>
            <w:noProof/>
            <w:webHidden/>
          </w:rPr>
          <w:tab/>
        </w:r>
        <w:r w:rsidR="00733FAC">
          <w:rPr>
            <w:noProof/>
            <w:webHidden/>
          </w:rPr>
          <w:fldChar w:fldCharType="begin"/>
        </w:r>
        <w:r w:rsidR="00733FAC">
          <w:rPr>
            <w:noProof/>
            <w:webHidden/>
          </w:rPr>
          <w:instrText xml:space="preserve"> PAGEREF _Toc458439247 \h </w:instrText>
        </w:r>
        <w:r w:rsidR="00733FAC">
          <w:rPr>
            <w:noProof/>
            <w:webHidden/>
          </w:rPr>
        </w:r>
        <w:r w:rsidR="00733FAC">
          <w:rPr>
            <w:noProof/>
            <w:webHidden/>
          </w:rPr>
          <w:fldChar w:fldCharType="separate"/>
        </w:r>
        <w:r w:rsidR="00733FAC">
          <w:rPr>
            <w:noProof/>
            <w:webHidden/>
          </w:rPr>
          <w:t>18</w:t>
        </w:r>
        <w:r w:rsidR="00733FAC">
          <w:rPr>
            <w:noProof/>
            <w:webHidden/>
          </w:rPr>
          <w:fldChar w:fldCharType="end"/>
        </w:r>
      </w:hyperlink>
    </w:p>
    <w:p w:rsidR="00733FAC" w:rsidRDefault="00D1774C">
      <w:pPr>
        <w:pStyle w:val="TOC1"/>
        <w:rPr>
          <w:rFonts w:asciiTheme="minorHAnsi" w:eastAsiaTheme="minorEastAsia" w:hAnsiTheme="minorHAnsi" w:cstheme="minorBidi"/>
          <w:sz w:val="22"/>
          <w:szCs w:val="22"/>
        </w:rPr>
      </w:pPr>
      <w:hyperlink w:anchor="_Toc458439248" w:history="1">
        <w:r w:rsidR="00733FAC" w:rsidRPr="00F14DBE">
          <w:rPr>
            <w:rStyle w:val="Hyperlink"/>
          </w:rPr>
          <w:t>Section 3. Load Shapes</w:t>
        </w:r>
        <w:r w:rsidR="00733FAC">
          <w:rPr>
            <w:webHidden/>
          </w:rPr>
          <w:tab/>
        </w:r>
        <w:r w:rsidR="00733FAC">
          <w:rPr>
            <w:webHidden/>
          </w:rPr>
          <w:fldChar w:fldCharType="begin"/>
        </w:r>
        <w:r w:rsidR="00733FAC">
          <w:rPr>
            <w:webHidden/>
          </w:rPr>
          <w:instrText xml:space="preserve"> PAGEREF _Toc458439248 \h </w:instrText>
        </w:r>
        <w:r w:rsidR="00733FAC">
          <w:rPr>
            <w:webHidden/>
          </w:rPr>
        </w:r>
        <w:r w:rsidR="00733FAC">
          <w:rPr>
            <w:webHidden/>
          </w:rPr>
          <w:fldChar w:fldCharType="separate"/>
        </w:r>
        <w:r w:rsidR="00733FAC">
          <w:rPr>
            <w:webHidden/>
          </w:rPr>
          <w:t>21</w:t>
        </w:r>
        <w:r w:rsidR="00733FAC">
          <w:rPr>
            <w:webHidden/>
          </w:rPr>
          <w:fldChar w:fldCharType="end"/>
        </w:r>
      </w:hyperlink>
    </w:p>
    <w:p w:rsidR="00733FAC" w:rsidRDefault="00D1774C">
      <w:pPr>
        <w:pStyle w:val="TOC2"/>
        <w:tabs>
          <w:tab w:val="right" w:leader="dot" w:pos="9350"/>
        </w:tabs>
        <w:rPr>
          <w:rFonts w:asciiTheme="minorHAnsi" w:eastAsiaTheme="minorEastAsia" w:hAnsiTheme="minorHAnsi" w:cstheme="minorBidi"/>
          <w:noProof/>
          <w:sz w:val="22"/>
          <w:szCs w:val="22"/>
        </w:rPr>
      </w:pPr>
      <w:hyperlink w:anchor="_Toc458439249" w:history="1">
        <w:r w:rsidR="00733FAC" w:rsidRPr="00F14DBE">
          <w:rPr>
            <w:rStyle w:val="Hyperlink"/>
            <w:noProof/>
          </w:rPr>
          <w:t>3.1 Base Case Load Shapes</w:t>
        </w:r>
        <w:r w:rsidR="00733FAC">
          <w:rPr>
            <w:noProof/>
            <w:webHidden/>
          </w:rPr>
          <w:tab/>
        </w:r>
        <w:r w:rsidR="00733FAC">
          <w:rPr>
            <w:noProof/>
            <w:webHidden/>
          </w:rPr>
          <w:fldChar w:fldCharType="begin"/>
        </w:r>
        <w:r w:rsidR="00733FAC">
          <w:rPr>
            <w:noProof/>
            <w:webHidden/>
          </w:rPr>
          <w:instrText xml:space="preserve"> PAGEREF _Toc458439249 \h </w:instrText>
        </w:r>
        <w:r w:rsidR="00733FAC">
          <w:rPr>
            <w:noProof/>
            <w:webHidden/>
          </w:rPr>
        </w:r>
        <w:r w:rsidR="00733FAC">
          <w:rPr>
            <w:noProof/>
            <w:webHidden/>
          </w:rPr>
          <w:fldChar w:fldCharType="separate"/>
        </w:r>
        <w:r w:rsidR="00733FAC">
          <w:rPr>
            <w:noProof/>
            <w:webHidden/>
          </w:rPr>
          <w:t>21</w:t>
        </w:r>
        <w:r w:rsidR="00733FAC">
          <w:rPr>
            <w:noProof/>
            <w:webHidden/>
          </w:rPr>
          <w:fldChar w:fldCharType="end"/>
        </w:r>
      </w:hyperlink>
    </w:p>
    <w:p w:rsidR="00733FAC" w:rsidRDefault="00D1774C">
      <w:pPr>
        <w:pStyle w:val="TOC2"/>
        <w:tabs>
          <w:tab w:val="right" w:leader="dot" w:pos="9350"/>
        </w:tabs>
        <w:rPr>
          <w:rFonts w:asciiTheme="minorHAnsi" w:eastAsiaTheme="minorEastAsia" w:hAnsiTheme="minorHAnsi" w:cstheme="minorBidi"/>
          <w:noProof/>
          <w:sz w:val="22"/>
          <w:szCs w:val="22"/>
        </w:rPr>
      </w:pPr>
      <w:hyperlink w:anchor="_Toc458439250" w:history="1">
        <w:r w:rsidR="00733FAC" w:rsidRPr="00F14DBE">
          <w:rPr>
            <w:rStyle w:val="Hyperlink"/>
            <w:noProof/>
          </w:rPr>
          <w:t>3.2 Measure Load Shapes</w:t>
        </w:r>
        <w:r w:rsidR="00733FAC">
          <w:rPr>
            <w:noProof/>
            <w:webHidden/>
          </w:rPr>
          <w:tab/>
        </w:r>
        <w:r w:rsidR="00733FAC">
          <w:rPr>
            <w:noProof/>
            <w:webHidden/>
          </w:rPr>
          <w:fldChar w:fldCharType="begin"/>
        </w:r>
        <w:r w:rsidR="00733FAC">
          <w:rPr>
            <w:noProof/>
            <w:webHidden/>
          </w:rPr>
          <w:instrText xml:space="preserve"> PAGEREF _Toc458439250 \h </w:instrText>
        </w:r>
        <w:r w:rsidR="00733FAC">
          <w:rPr>
            <w:noProof/>
            <w:webHidden/>
          </w:rPr>
        </w:r>
        <w:r w:rsidR="00733FAC">
          <w:rPr>
            <w:noProof/>
            <w:webHidden/>
          </w:rPr>
          <w:fldChar w:fldCharType="separate"/>
        </w:r>
        <w:r w:rsidR="00733FAC">
          <w:rPr>
            <w:noProof/>
            <w:webHidden/>
          </w:rPr>
          <w:t>21</w:t>
        </w:r>
        <w:r w:rsidR="00733FAC">
          <w:rPr>
            <w:noProof/>
            <w:webHidden/>
          </w:rPr>
          <w:fldChar w:fldCharType="end"/>
        </w:r>
      </w:hyperlink>
    </w:p>
    <w:p w:rsidR="00733FAC" w:rsidRDefault="00D1774C">
      <w:pPr>
        <w:pStyle w:val="TOC1"/>
        <w:rPr>
          <w:rFonts w:asciiTheme="minorHAnsi" w:eastAsiaTheme="minorEastAsia" w:hAnsiTheme="minorHAnsi" w:cstheme="minorBidi"/>
          <w:sz w:val="22"/>
          <w:szCs w:val="22"/>
        </w:rPr>
      </w:pPr>
      <w:hyperlink w:anchor="_Toc458439251" w:history="1">
        <w:r w:rsidR="00733FAC" w:rsidRPr="00F14DBE">
          <w:rPr>
            <w:rStyle w:val="Hyperlink"/>
          </w:rPr>
          <w:t>Section 4. Base Case &amp; Measure Costs</w:t>
        </w:r>
        <w:r w:rsidR="00733FAC">
          <w:rPr>
            <w:webHidden/>
          </w:rPr>
          <w:tab/>
        </w:r>
        <w:r w:rsidR="00733FAC">
          <w:rPr>
            <w:webHidden/>
          </w:rPr>
          <w:fldChar w:fldCharType="begin"/>
        </w:r>
        <w:r w:rsidR="00733FAC">
          <w:rPr>
            <w:webHidden/>
          </w:rPr>
          <w:instrText xml:space="preserve"> PAGEREF _Toc458439251 \h </w:instrText>
        </w:r>
        <w:r w:rsidR="00733FAC">
          <w:rPr>
            <w:webHidden/>
          </w:rPr>
        </w:r>
        <w:r w:rsidR="00733FAC">
          <w:rPr>
            <w:webHidden/>
          </w:rPr>
          <w:fldChar w:fldCharType="separate"/>
        </w:r>
        <w:r w:rsidR="00733FAC">
          <w:rPr>
            <w:webHidden/>
          </w:rPr>
          <w:t>22</w:t>
        </w:r>
        <w:r w:rsidR="00733FAC">
          <w:rPr>
            <w:webHidden/>
          </w:rPr>
          <w:fldChar w:fldCharType="end"/>
        </w:r>
      </w:hyperlink>
    </w:p>
    <w:p w:rsidR="00733FAC" w:rsidRDefault="00D1774C">
      <w:pPr>
        <w:pStyle w:val="TOC2"/>
        <w:tabs>
          <w:tab w:val="right" w:leader="dot" w:pos="9350"/>
        </w:tabs>
        <w:rPr>
          <w:rFonts w:asciiTheme="minorHAnsi" w:eastAsiaTheme="minorEastAsia" w:hAnsiTheme="minorHAnsi" w:cstheme="minorBidi"/>
          <w:noProof/>
          <w:sz w:val="22"/>
          <w:szCs w:val="22"/>
        </w:rPr>
      </w:pPr>
      <w:hyperlink w:anchor="_Toc458439252" w:history="1">
        <w:r w:rsidR="00733FAC" w:rsidRPr="00F14DBE">
          <w:rPr>
            <w:rStyle w:val="Hyperlink"/>
            <w:noProof/>
          </w:rPr>
          <w:t>4.1 Base Cases Costs</w:t>
        </w:r>
        <w:r w:rsidR="00733FAC">
          <w:rPr>
            <w:noProof/>
            <w:webHidden/>
          </w:rPr>
          <w:tab/>
        </w:r>
        <w:r w:rsidR="00733FAC">
          <w:rPr>
            <w:noProof/>
            <w:webHidden/>
          </w:rPr>
          <w:fldChar w:fldCharType="begin"/>
        </w:r>
        <w:r w:rsidR="00733FAC">
          <w:rPr>
            <w:noProof/>
            <w:webHidden/>
          </w:rPr>
          <w:instrText xml:space="preserve"> PAGEREF _Toc458439252 \h </w:instrText>
        </w:r>
        <w:r w:rsidR="00733FAC">
          <w:rPr>
            <w:noProof/>
            <w:webHidden/>
          </w:rPr>
        </w:r>
        <w:r w:rsidR="00733FAC">
          <w:rPr>
            <w:noProof/>
            <w:webHidden/>
          </w:rPr>
          <w:fldChar w:fldCharType="separate"/>
        </w:r>
        <w:r w:rsidR="00733FAC">
          <w:rPr>
            <w:noProof/>
            <w:webHidden/>
          </w:rPr>
          <w:t>22</w:t>
        </w:r>
        <w:r w:rsidR="00733FAC">
          <w:rPr>
            <w:noProof/>
            <w:webHidden/>
          </w:rPr>
          <w:fldChar w:fldCharType="end"/>
        </w:r>
      </w:hyperlink>
    </w:p>
    <w:p w:rsidR="00733FAC" w:rsidRDefault="00D1774C">
      <w:pPr>
        <w:pStyle w:val="TOC2"/>
        <w:tabs>
          <w:tab w:val="right" w:leader="dot" w:pos="9350"/>
        </w:tabs>
        <w:rPr>
          <w:rFonts w:asciiTheme="minorHAnsi" w:eastAsiaTheme="minorEastAsia" w:hAnsiTheme="minorHAnsi" w:cstheme="minorBidi"/>
          <w:noProof/>
          <w:sz w:val="22"/>
          <w:szCs w:val="22"/>
        </w:rPr>
      </w:pPr>
      <w:hyperlink w:anchor="_Toc458439253" w:history="1">
        <w:r w:rsidR="00733FAC" w:rsidRPr="00F14DBE">
          <w:rPr>
            <w:rStyle w:val="Hyperlink"/>
            <w:noProof/>
          </w:rPr>
          <w:t>4.2 Measure Costs</w:t>
        </w:r>
        <w:r w:rsidR="00733FAC">
          <w:rPr>
            <w:noProof/>
            <w:webHidden/>
          </w:rPr>
          <w:tab/>
        </w:r>
        <w:r w:rsidR="00733FAC">
          <w:rPr>
            <w:noProof/>
            <w:webHidden/>
          </w:rPr>
          <w:fldChar w:fldCharType="begin"/>
        </w:r>
        <w:r w:rsidR="00733FAC">
          <w:rPr>
            <w:noProof/>
            <w:webHidden/>
          </w:rPr>
          <w:instrText xml:space="preserve"> PAGEREF _Toc458439253 \h </w:instrText>
        </w:r>
        <w:r w:rsidR="00733FAC">
          <w:rPr>
            <w:noProof/>
            <w:webHidden/>
          </w:rPr>
        </w:r>
        <w:r w:rsidR="00733FAC">
          <w:rPr>
            <w:noProof/>
            <w:webHidden/>
          </w:rPr>
          <w:fldChar w:fldCharType="separate"/>
        </w:r>
        <w:r w:rsidR="00733FAC">
          <w:rPr>
            <w:noProof/>
            <w:webHidden/>
          </w:rPr>
          <w:t>22</w:t>
        </w:r>
        <w:r w:rsidR="00733FAC">
          <w:rPr>
            <w:noProof/>
            <w:webHidden/>
          </w:rPr>
          <w:fldChar w:fldCharType="end"/>
        </w:r>
      </w:hyperlink>
    </w:p>
    <w:p w:rsidR="00733FAC" w:rsidRDefault="00D1774C">
      <w:pPr>
        <w:pStyle w:val="TOC2"/>
        <w:tabs>
          <w:tab w:val="right" w:leader="dot" w:pos="9350"/>
        </w:tabs>
        <w:rPr>
          <w:rFonts w:asciiTheme="minorHAnsi" w:eastAsiaTheme="minorEastAsia" w:hAnsiTheme="minorHAnsi" w:cstheme="minorBidi"/>
          <w:noProof/>
          <w:sz w:val="22"/>
          <w:szCs w:val="22"/>
        </w:rPr>
      </w:pPr>
      <w:hyperlink w:anchor="_Toc458439254" w:history="1">
        <w:r w:rsidR="00733FAC" w:rsidRPr="00F14DBE">
          <w:rPr>
            <w:rStyle w:val="Hyperlink"/>
            <w:noProof/>
          </w:rPr>
          <w:t>4.3 Incremental &amp; Full Measure Costs</w:t>
        </w:r>
        <w:r w:rsidR="00733FAC">
          <w:rPr>
            <w:noProof/>
            <w:webHidden/>
          </w:rPr>
          <w:tab/>
        </w:r>
        <w:r w:rsidR="00733FAC">
          <w:rPr>
            <w:noProof/>
            <w:webHidden/>
          </w:rPr>
          <w:fldChar w:fldCharType="begin"/>
        </w:r>
        <w:r w:rsidR="00733FAC">
          <w:rPr>
            <w:noProof/>
            <w:webHidden/>
          </w:rPr>
          <w:instrText xml:space="preserve"> PAGEREF _Toc458439254 \h </w:instrText>
        </w:r>
        <w:r w:rsidR="00733FAC">
          <w:rPr>
            <w:noProof/>
            <w:webHidden/>
          </w:rPr>
        </w:r>
        <w:r w:rsidR="00733FAC">
          <w:rPr>
            <w:noProof/>
            <w:webHidden/>
          </w:rPr>
          <w:fldChar w:fldCharType="separate"/>
        </w:r>
        <w:r w:rsidR="00733FAC">
          <w:rPr>
            <w:noProof/>
            <w:webHidden/>
          </w:rPr>
          <w:t>22</w:t>
        </w:r>
        <w:r w:rsidR="00733FAC">
          <w:rPr>
            <w:noProof/>
            <w:webHidden/>
          </w:rPr>
          <w:fldChar w:fldCharType="end"/>
        </w:r>
      </w:hyperlink>
    </w:p>
    <w:p w:rsidR="00F578B9" w:rsidRDefault="00F578B9" w:rsidP="00F578B9">
      <w:pPr>
        <w:pStyle w:val="Heading1"/>
      </w:pPr>
      <w:r>
        <w:fldChar w:fldCharType="end"/>
      </w:r>
    </w:p>
    <w:p w:rsidR="00F578B9" w:rsidRDefault="00F578B9" w:rsidP="00F578B9">
      <w:pPr>
        <w:pStyle w:val="Heading1"/>
      </w:pPr>
      <w:r>
        <w:br w:type="page"/>
      </w:r>
      <w:bookmarkStart w:id="10" w:name="_Toc172205729"/>
      <w:bookmarkStart w:id="11" w:name="_Toc458439232"/>
      <w:r>
        <w:lastRenderedPageBreak/>
        <w:t>List of Tables</w:t>
      </w:r>
      <w:bookmarkEnd w:id="10"/>
      <w:bookmarkEnd w:id="11"/>
    </w:p>
    <w:p w:rsidR="004D066A" w:rsidRDefault="00452C5B" w:rsidP="00452C5B">
      <w:pPr>
        <w:pStyle w:val="TableofFigures"/>
        <w:tabs>
          <w:tab w:val="right" w:leader="dot" w:pos="9350"/>
        </w:tabs>
      </w:pPr>
      <w:r>
        <w:t xml:space="preserve"> </w:t>
      </w:r>
    </w:p>
    <w:p w:rsidR="00733FAC" w:rsidRDefault="00054630">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58439255" w:history="1">
        <w:r w:rsidR="00733FAC" w:rsidRPr="00E76B34">
          <w:rPr>
            <w:rStyle w:val="Hyperlink"/>
            <w:noProof/>
          </w:rPr>
          <w:t>Table-1: Energy Efficiency Requirements for Commercial Convection Ovens</w:t>
        </w:r>
        <w:r w:rsidR="00733FAC">
          <w:rPr>
            <w:noProof/>
            <w:webHidden/>
          </w:rPr>
          <w:tab/>
        </w:r>
        <w:r w:rsidR="00733FAC">
          <w:rPr>
            <w:noProof/>
            <w:webHidden/>
          </w:rPr>
          <w:fldChar w:fldCharType="begin"/>
        </w:r>
        <w:r w:rsidR="00733FAC">
          <w:rPr>
            <w:noProof/>
            <w:webHidden/>
          </w:rPr>
          <w:instrText xml:space="preserve"> PAGEREF _Toc458439255 \h </w:instrText>
        </w:r>
        <w:r w:rsidR="00733FAC">
          <w:rPr>
            <w:noProof/>
            <w:webHidden/>
          </w:rPr>
        </w:r>
        <w:r w:rsidR="00733FAC">
          <w:rPr>
            <w:noProof/>
            <w:webHidden/>
          </w:rPr>
          <w:fldChar w:fldCharType="separate"/>
        </w:r>
        <w:r w:rsidR="00733FAC">
          <w:rPr>
            <w:noProof/>
            <w:webHidden/>
          </w:rPr>
          <w:t>8</w:t>
        </w:r>
        <w:r w:rsidR="00733FAC">
          <w:rPr>
            <w:noProof/>
            <w:webHidden/>
          </w:rPr>
          <w:fldChar w:fldCharType="end"/>
        </w:r>
      </w:hyperlink>
    </w:p>
    <w:p w:rsidR="00733FAC" w:rsidRDefault="00D1774C">
      <w:pPr>
        <w:pStyle w:val="TableofFigures"/>
        <w:tabs>
          <w:tab w:val="right" w:leader="dot" w:pos="9350"/>
        </w:tabs>
        <w:rPr>
          <w:rFonts w:asciiTheme="minorHAnsi" w:eastAsiaTheme="minorEastAsia" w:hAnsiTheme="minorHAnsi" w:cstheme="minorBidi"/>
          <w:noProof/>
          <w:sz w:val="22"/>
          <w:szCs w:val="22"/>
        </w:rPr>
      </w:pPr>
      <w:hyperlink w:anchor="_Toc458439256" w:history="1">
        <w:r w:rsidR="00733FAC" w:rsidRPr="00E76B34">
          <w:rPr>
            <w:rStyle w:val="Hyperlink"/>
            <w:noProof/>
          </w:rPr>
          <w:t>Table-2: Measure Application Type</w:t>
        </w:r>
        <w:r w:rsidR="00733FAC">
          <w:rPr>
            <w:noProof/>
            <w:webHidden/>
          </w:rPr>
          <w:tab/>
        </w:r>
        <w:r w:rsidR="00733FAC">
          <w:rPr>
            <w:noProof/>
            <w:webHidden/>
          </w:rPr>
          <w:fldChar w:fldCharType="begin"/>
        </w:r>
        <w:r w:rsidR="00733FAC">
          <w:rPr>
            <w:noProof/>
            <w:webHidden/>
          </w:rPr>
          <w:instrText xml:space="preserve"> PAGEREF _Toc458439256 \h </w:instrText>
        </w:r>
        <w:r w:rsidR="00733FAC">
          <w:rPr>
            <w:noProof/>
            <w:webHidden/>
          </w:rPr>
        </w:r>
        <w:r w:rsidR="00733FAC">
          <w:rPr>
            <w:noProof/>
            <w:webHidden/>
          </w:rPr>
          <w:fldChar w:fldCharType="separate"/>
        </w:r>
        <w:r w:rsidR="00733FAC">
          <w:rPr>
            <w:noProof/>
            <w:webHidden/>
          </w:rPr>
          <w:t>9</w:t>
        </w:r>
        <w:r w:rsidR="00733FAC">
          <w:rPr>
            <w:noProof/>
            <w:webHidden/>
          </w:rPr>
          <w:fldChar w:fldCharType="end"/>
        </w:r>
      </w:hyperlink>
    </w:p>
    <w:p w:rsidR="00733FAC" w:rsidRDefault="00D1774C">
      <w:pPr>
        <w:pStyle w:val="TableofFigures"/>
        <w:tabs>
          <w:tab w:val="right" w:leader="dot" w:pos="9350"/>
        </w:tabs>
        <w:rPr>
          <w:rFonts w:asciiTheme="minorHAnsi" w:eastAsiaTheme="minorEastAsia" w:hAnsiTheme="minorHAnsi" w:cstheme="minorBidi"/>
          <w:noProof/>
          <w:sz w:val="22"/>
          <w:szCs w:val="22"/>
        </w:rPr>
      </w:pPr>
      <w:hyperlink w:anchor="_Toc458439257" w:history="1">
        <w:r w:rsidR="00733FAC" w:rsidRPr="00E76B34">
          <w:rPr>
            <w:rStyle w:val="Hyperlink"/>
            <w:noProof/>
          </w:rPr>
          <w:t>Table-3: DEER 2016 Net-to-Gross Ratios</w:t>
        </w:r>
        <w:r w:rsidR="00733FAC">
          <w:rPr>
            <w:noProof/>
            <w:webHidden/>
          </w:rPr>
          <w:tab/>
        </w:r>
        <w:r w:rsidR="00733FAC">
          <w:rPr>
            <w:noProof/>
            <w:webHidden/>
          </w:rPr>
          <w:fldChar w:fldCharType="begin"/>
        </w:r>
        <w:r w:rsidR="00733FAC">
          <w:rPr>
            <w:noProof/>
            <w:webHidden/>
          </w:rPr>
          <w:instrText xml:space="preserve"> PAGEREF _Toc458439257 \h </w:instrText>
        </w:r>
        <w:r w:rsidR="00733FAC">
          <w:rPr>
            <w:noProof/>
            <w:webHidden/>
          </w:rPr>
        </w:r>
        <w:r w:rsidR="00733FAC">
          <w:rPr>
            <w:noProof/>
            <w:webHidden/>
          </w:rPr>
          <w:fldChar w:fldCharType="separate"/>
        </w:r>
        <w:r w:rsidR="00733FAC">
          <w:rPr>
            <w:noProof/>
            <w:webHidden/>
          </w:rPr>
          <w:t>10</w:t>
        </w:r>
        <w:r w:rsidR="00733FAC">
          <w:rPr>
            <w:noProof/>
            <w:webHidden/>
          </w:rPr>
          <w:fldChar w:fldCharType="end"/>
        </w:r>
      </w:hyperlink>
    </w:p>
    <w:p w:rsidR="00733FAC" w:rsidRDefault="00D1774C">
      <w:pPr>
        <w:pStyle w:val="TableofFigures"/>
        <w:tabs>
          <w:tab w:val="right" w:leader="dot" w:pos="9350"/>
        </w:tabs>
        <w:rPr>
          <w:rFonts w:asciiTheme="minorHAnsi" w:eastAsiaTheme="minorEastAsia" w:hAnsiTheme="minorHAnsi" w:cstheme="minorBidi"/>
          <w:noProof/>
          <w:sz w:val="22"/>
          <w:szCs w:val="22"/>
        </w:rPr>
      </w:pPr>
      <w:hyperlink w:anchor="_Toc458439258" w:history="1">
        <w:r w:rsidR="00733FAC" w:rsidRPr="00E76B34">
          <w:rPr>
            <w:rStyle w:val="Hyperlink"/>
            <w:noProof/>
          </w:rPr>
          <w:t>Table-4: DEER Effective Useful Life</w:t>
        </w:r>
        <w:r w:rsidR="00733FAC">
          <w:rPr>
            <w:noProof/>
            <w:webHidden/>
          </w:rPr>
          <w:tab/>
        </w:r>
        <w:r w:rsidR="00733FAC">
          <w:rPr>
            <w:noProof/>
            <w:webHidden/>
          </w:rPr>
          <w:fldChar w:fldCharType="begin"/>
        </w:r>
        <w:r w:rsidR="00733FAC">
          <w:rPr>
            <w:noProof/>
            <w:webHidden/>
          </w:rPr>
          <w:instrText xml:space="preserve"> PAGEREF _Toc458439258 \h </w:instrText>
        </w:r>
        <w:r w:rsidR="00733FAC">
          <w:rPr>
            <w:noProof/>
            <w:webHidden/>
          </w:rPr>
        </w:r>
        <w:r w:rsidR="00733FAC">
          <w:rPr>
            <w:noProof/>
            <w:webHidden/>
          </w:rPr>
          <w:fldChar w:fldCharType="separate"/>
        </w:r>
        <w:r w:rsidR="00733FAC">
          <w:rPr>
            <w:noProof/>
            <w:webHidden/>
          </w:rPr>
          <w:t>10</w:t>
        </w:r>
        <w:r w:rsidR="00733FAC">
          <w:rPr>
            <w:noProof/>
            <w:webHidden/>
          </w:rPr>
          <w:fldChar w:fldCharType="end"/>
        </w:r>
      </w:hyperlink>
    </w:p>
    <w:p w:rsidR="00733FAC" w:rsidRDefault="00D1774C">
      <w:pPr>
        <w:pStyle w:val="TableofFigures"/>
        <w:tabs>
          <w:tab w:val="right" w:leader="dot" w:pos="9350"/>
        </w:tabs>
        <w:rPr>
          <w:rFonts w:asciiTheme="minorHAnsi" w:eastAsiaTheme="minorEastAsia" w:hAnsiTheme="minorHAnsi" w:cstheme="minorBidi"/>
          <w:noProof/>
          <w:sz w:val="22"/>
          <w:szCs w:val="22"/>
        </w:rPr>
      </w:pPr>
      <w:hyperlink w:anchor="_Toc458439259" w:history="1">
        <w:r w:rsidR="00733FAC" w:rsidRPr="00E76B34">
          <w:rPr>
            <w:rStyle w:val="Hyperlink"/>
            <w:noProof/>
          </w:rPr>
          <w:t>Table-5: Installation Rate</w:t>
        </w:r>
        <w:r w:rsidR="00733FAC">
          <w:rPr>
            <w:noProof/>
            <w:webHidden/>
          </w:rPr>
          <w:tab/>
        </w:r>
        <w:r w:rsidR="00733FAC">
          <w:rPr>
            <w:noProof/>
            <w:webHidden/>
          </w:rPr>
          <w:fldChar w:fldCharType="begin"/>
        </w:r>
        <w:r w:rsidR="00733FAC">
          <w:rPr>
            <w:noProof/>
            <w:webHidden/>
          </w:rPr>
          <w:instrText xml:space="preserve"> PAGEREF _Toc458439259 \h </w:instrText>
        </w:r>
        <w:r w:rsidR="00733FAC">
          <w:rPr>
            <w:noProof/>
            <w:webHidden/>
          </w:rPr>
        </w:r>
        <w:r w:rsidR="00733FAC">
          <w:rPr>
            <w:noProof/>
            <w:webHidden/>
          </w:rPr>
          <w:fldChar w:fldCharType="separate"/>
        </w:r>
        <w:r w:rsidR="00733FAC">
          <w:rPr>
            <w:noProof/>
            <w:webHidden/>
          </w:rPr>
          <w:t>10</w:t>
        </w:r>
        <w:r w:rsidR="00733FAC">
          <w:rPr>
            <w:noProof/>
            <w:webHidden/>
          </w:rPr>
          <w:fldChar w:fldCharType="end"/>
        </w:r>
      </w:hyperlink>
    </w:p>
    <w:p w:rsidR="00733FAC" w:rsidRDefault="00D1774C">
      <w:pPr>
        <w:pStyle w:val="TableofFigures"/>
        <w:tabs>
          <w:tab w:val="right" w:leader="dot" w:pos="9350"/>
        </w:tabs>
        <w:rPr>
          <w:rFonts w:asciiTheme="minorHAnsi" w:eastAsiaTheme="minorEastAsia" w:hAnsiTheme="minorHAnsi" w:cstheme="minorBidi"/>
          <w:noProof/>
          <w:sz w:val="22"/>
          <w:szCs w:val="22"/>
        </w:rPr>
      </w:pPr>
      <w:hyperlink w:anchor="_Toc458439260" w:history="1">
        <w:r w:rsidR="00733FAC" w:rsidRPr="00E76B34">
          <w:rPr>
            <w:rStyle w:val="Hyperlink"/>
            <w:noProof/>
          </w:rPr>
          <w:t>Table-6: Baseline ASTM Test Results for Commercial Convection Ovens</w:t>
        </w:r>
        <w:r w:rsidR="00733FAC">
          <w:rPr>
            <w:noProof/>
            <w:webHidden/>
          </w:rPr>
          <w:tab/>
        </w:r>
        <w:r w:rsidR="00733FAC">
          <w:rPr>
            <w:noProof/>
            <w:webHidden/>
          </w:rPr>
          <w:fldChar w:fldCharType="begin"/>
        </w:r>
        <w:r w:rsidR="00733FAC">
          <w:rPr>
            <w:noProof/>
            <w:webHidden/>
          </w:rPr>
          <w:instrText xml:space="preserve"> PAGEREF _Toc458439260 \h </w:instrText>
        </w:r>
        <w:r w:rsidR="00733FAC">
          <w:rPr>
            <w:noProof/>
            <w:webHidden/>
          </w:rPr>
        </w:r>
        <w:r w:rsidR="00733FAC">
          <w:rPr>
            <w:noProof/>
            <w:webHidden/>
          </w:rPr>
          <w:fldChar w:fldCharType="separate"/>
        </w:r>
        <w:r w:rsidR="00733FAC">
          <w:rPr>
            <w:noProof/>
            <w:webHidden/>
          </w:rPr>
          <w:t>11</w:t>
        </w:r>
        <w:r w:rsidR="00733FAC">
          <w:rPr>
            <w:noProof/>
            <w:webHidden/>
          </w:rPr>
          <w:fldChar w:fldCharType="end"/>
        </w:r>
      </w:hyperlink>
    </w:p>
    <w:p w:rsidR="00733FAC" w:rsidRDefault="00D1774C">
      <w:pPr>
        <w:pStyle w:val="TableofFigures"/>
        <w:tabs>
          <w:tab w:val="right" w:leader="dot" w:pos="9350"/>
        </w:tabs>
        <w:rPr>
          <w:rFonts w:asciiTheme="minorHAnsi" w:eastAsiaTheme="minorEastAsia" w:hAnsiTheme="minorHAnsi" w:cstheme="minorBidi"/>
          <w:noProof/>
          <w:sz w:val="22"/>
          <w:szCs w:val="22"/>
        </w:rPr>
      </w:pPr>
      <w:hyperlink w:anchor="_Toc458439261" w:history="1">
        <w:r w:rsidR="00733FAC" w:rsidRPr="00E76B34">
          <w:rPr>
            <w:rStyle w:val="Hyperlink"/>
            <w:noProof/>
          </w:rPr>
          <w:t>Table-7: Measure Case ASTM Test Results for Commercial Convection Ovens</w:t>
        </w:r>
        <w:r w:rsidR="00733FAC">
          <w:rPr>
            <w:noProof/>
            <w:webHidden/>
          </w:rPr>
          <w:tab/>
        </w:r>
        <w:r w:rsidR="00733FAC">
          <w:rPr>
            <w:noProof/>
            <w:webHidden/>
          </w:rPr>
          <w:fldChar w:fldCharType="begin"/>
        </w:r>
        <w:r w:rsidR="00733FAC">
          <w:rPr>
            <w:noProof/>
            <w:webHidden/>
          </w:rPr>
          <w:instrText xml:space="preserve"> PAGEREF _Toc458439261 \h </w:instrText>
        </w:r>
        <w:r w:rsidR="00733FAC">
          <w:rPr>
            <w:noProof/>
            <w:webHidden/>
          </w:rPr>
        </w:r>
        <w:r w:rsidR="00733FAC">
          <w:rPr>
            <w:noProof/>
            <w:webHidden/>
          </w:rPr>
          <w:fldChar w:fldCharType="separate"/>
        </w:r>
        <w:r w:rsidR="00733FAC">
          <w:rPr>
            <w:noProof/>
            <w:webHidden/>
          </w:rPr>
          <w:t>12</w:t>
        </w:r>
        <w:r w:rsidR="00733FAC">
          <w:rPr>
            <w:noProof/>
            <w:webHidden/>
          </w:rPr>
          <w:fldChar w:fldCharType="end"/>
        </w:r>
      </w:hyperlink>
    </w:p>
    <w:p w:rsidR="00733FAC" w:rsidRDefault="00D1774C">
      <w:pPr>
        <w:pStyle w:val="TableofFigures"/>
        <w:tabs>
          <w:tab w:val="right" w:leader="dot" w:pos="9350"/>
        </w:tabs>
        <w:rPr>
          <w:rFonts w:asciiTheme="minorHAnsi" w:eastAsiaTheme="minorEastAsia" w:hAnsiTheme="minorHAnsi" w:cstheme="minorBidi"/>
          <w:noProof/>
          <w:sz w:val="22"/>
          <w:szCs w:val="22"/>
        </w:rPr>
      </w:pPr>
      <w:hyperlink w:anchor="_Toc458439262" w:history="1">
        <w:r w:rsidR="00733FAC" w:rsidRPr="00E76B34">
          <w:rPr>
            <w:rStyle w:val="Hyperlink"/>
            <w:noProof/>
          </w:rPr>
          <w:t>Table 8: Final claimable savings</w:t>
        </w:r>
        <w:r w:rsidR="00733FAC">
          <w:rPr>
            <w:noProof/>
            <w:webHidden/>
          </w:rPr>
          <w:tab/>
        </w:r>
        <w:r w:rsidR="00733FAC">
          <w:rPr>
            <w:noProof/>
            <w:webHidden/>
          </w:rPr>
          <w:fldChar w:fldCharType="begin"/>
        </w:r>
        <w:r w:rsidR="00733FAC">
          <w:rPr>
            <w:noProof/>
            <w:webHidden/>
          </w:rPr>
          <w:instrText xml:space="preserve"> PAGEREF _Toc458439262 \h </w:instrText>
        </w:r>
        <w:r w:rsidR="00733FAC">
          <w:rPr>
            <w:noProof/>
            <w:webHidden/>
          </w:rPr>
        </w:r>
        <w:r w:rsidR="00733FAC">
          <w:rPr>
            <w:noProof/>
            <w:webHidden/>
          </w:rPr>
          <w:fldChar w:fldCharType="separate"/>
        </w:r>
        <w:r w:rsidR="00733FAC">
          <w:rPr>
            <w:noProof/>
            <w:webHidden/>
          </w:rPr>
          <w:t>13</w:t>
        </w:r>
        <w:r w:rsidR="00733FAC">
          <w:rPr>
            <w:noProof/>
            <w:webHidden/>
          </w:rPr>
          <w:fldChar w:fldCharType="end"/>
        </w:r>
      </w:hyperlink>
    </w:p>
    <w:p w:rsidR="00733FAC" w:rsidRDefault="00D1774C">
      <w:pPr>
        <w:pStyle w:val="TableofFigures"/>
        <w:tabs>
          <w:tab w:val="right" w:leader="dot" w:pos="9350"/>
        </w:tabs>
        <w:rPr>
          <w:rFonts w:asciiTheme="minorHAnsi" w:eastAsiaTheme="minorEastAsia" w:hAnsiTheme="minorHAnsi" w:cstheme="minorBidi"/>
          <w:noProof/>
          <w:sz w:val="22"/>
          <w:szCs w:val="22"/>
        </w:rPr>
      </w:pPr>
      <w:hyperlink w:anchor="_Toc458439263" w:history="1">
        <w:r w:rsidR="00733FAC" w:rsidRPr="00E76B34">
          <w:rPr>
            <w:rStyle w:val="Hyperlink"/>
            <w:noProof/>
          </w:rPr>
          <w:t>Table-9: Commercial Electric Half-Size Convection Oven Cost-Effectiveness Example</w:t>
        </w:r>
        <w:r w:rsidR="00733FAC">
          <w:rPr>
            <w:noProof/>
            <w:webHidden/>
          </w:rPr>
          <w:tab/>
        </w:r>
        <w:r w:rsidR="00733FAC">
          <w:rPr>
            <w:noProof/>
            <w:webHidden/>
          </w:rPr>
          <w:fldChar w:fldCharType="begin"/>
        </w:r>
        <w:r w:rsidR="00733FAC">
          <w:rPr>
            <w:noProof/>
            <w:webHidden/>
          </w:rPr>
          <w:instrText xml:space="preserve"> PAGEREF _Toc458439263 \h </w:instrText>
        </w:r>
        <w:r w:rsidR="00733FAC">
          <w:rPr>
            <w:noProof/>
            <w:webHidden/>
          </w:rPr>
        </w:r>
        <w:r w:rsidR="00733FAC">
          <w:rPr>
            <w:noProof/>
            <w:webHidden/>
          </w:rPr>
          <w:fldChar w:fldCharType="separate"/>
        </w:r>
        <w:r w:rsidR="00733FAC">
          <w:rPr>
            <w:noProof/>
            <w:webHidden/>
          </w:rPr>
          <w:t>14</w:t>
        </w:r>
        <w:r w:rsidR="00733FAC">
          <w:rPr>
            <w:noProof/>
            <w:webHidden/>
          </w:rPr>
          <w:fldChar w:fldCharType="end"/>
        </w:r>
      </w:hyperlink>
    </w:p>
    <w:p w:rsidR="00733FAC" w:rsidRDefault="00D1774C">
      <w:pPr>
        <w:pStyle w:val="TableofFigures"/>
        <w:tabs>
          <w:tab w:val="right" w:leader="dot" w:pos="9350"/>
        </w:tabs>
        <w:rPr>
          <w:rFonts w:asciiTheme="minorHAnsi" w:eastAsiaTheme="minorEastAsia" w:hAnsiTheme="minorHAnsi" w:cstheme="minorBidi"/>
          <w:noProof/>
          <w:sz w:val="22"/>
          <w:szCs w:val="22"/>
        </w:rPr>
      </w:pPr>
      <w:hyperlink w:anchor="_Toc458439264" w:history="1">
        <w:r w:rsidR="00733FAC" w:rsidRPr="00E76B34">
          <w:rPr>
            <w:rStyle w:val="Hyperlink"/>
            <w:noProof/>
          </w:rPr>
          <w:t>Table-10: Commercial Electric Full-Size Convection Oven Cost-Effectiveness Example</w:t>
        </w:r>
        <w:r w:rsidR="00733FAC">
          <w:rPr>
            <w:noProof/>
            <w:webHidden/>
          </w:rPr>
          <w:tab/>
        </w:r>
        <w:r w:rsidR="00733FAC">
          <w:rPr>
            <w:noProof/>
            <w:webHidden/>
          </w:rPr>
          <w:fldChar w:fldCharType="begin"/>
        </w:r>
        <w:r w:rsidR="00733FAC">
          <w:rPr>
            <w:noProof/>
            <w:webHidden/>
          </w:rPr>
          <w:instrText xml:space="preserve"> PAGEREF _Toc458439264 \h </w:instrText>
        </w:r>
        <w:r w:rsidR="00733FAC">
          <w:rPr>
            <w:noProof/>
            <w:webHidden/>
          </w:rPr>
        </w:r>
        <w:r w:rsidR="00733FAC">
          <w:rPr>
            <w:noProof/>
            <w:webHidden/>
          </w:rPr>
          <w:fldChar w:fldCharType="separate"/>
        </w:r>
        <w:r w:rsidR="00733FAC">
          <w:rPr>
            <w:noProof/>
            <w:webHidden/>
          </w:rPr>
          <w:t>15</w:t>
        </w:r>
        <w:r w:rsidR="00733FAC">
          <w:rPr>
            <w:noProof/>
            <w:webHidden/>
          </w:rPr>
          <w:fldChar w:fldCharType="end"/>
        </w:r>
      </w:hyperlink>
    </w:p>
    <w:p w:rsidR="00733FAC" w:rsidRDefault="00D1774C">
      <w:pPr>
        <w:pStyle w:val="TableofFigures"/>
        <w:tabs>
          <w:tab w:val="right" w:leader="dot" w:pos="9350"/>
        </w:tabs>
        <w:rPr>
          <w:rFonts w:asciiTheme="minorHAnsi" w:eastAsiaTheme="minorEastAsia" w:hAnsiTheme="minorHAnsi" w:cstheme="minorBidi"/>
          <w:noProof/>
          <w:sz w:val="22"/>
          <w:szCs w:val="22"/>
        </w:rPr>
      </w:pPr>
      <w:hyperlink w:anchor="_Toc458439265" w:history="1">
        <w:r w:rsidR="00733FAC" w:rsidRPr="00E76B34">
          <w:rPr>
            <w:rStyle w:val="Hyperlink"/>
            <w:noProof/>
          </w:rPr>
          <w:t>Table-11: Commercial Electric Large Full-Size Convection Oven Cost-Effectiveness Example</w:t>
        </w:r>
        <w:r w:rsidR="00733FAC">
          <w:rPr>
            <w:noProof/>
            <w:webHidden/>
          </w:rPr>
          <w:tab/>
        </w:r>
        <w:r w:rsidR="00733FAC">
          <w:rPr>
            <w:noProof/>
            <w:webHidden/>
          </w:rPr>
          <w:fldChar w:fldCharType="begin"/>
        </w:r>
        <w:r w:rsidR="00733FAC">
          <w:rPr>
            <w:noProof/>
            <w:webHidden/>
          </w:rPr>
          <w:instrText xml:space="preserve"> PAGEREF _Toc458439265 \h </w:instrText>
        </w:r>
        <w:r w:rsidR="00733FAC">
          <w:rPr>
            <w:noProof/>
            <w:webHidden/>
          </w:rPr>
        </w:r>
        <w:r w:rsidR="00733FAC">
          <w:rPr>
            <w:noProof/>
            <w:webHidden/>
          </w:rPr>
          <w:fldChar w:fldCharType="separate"/>
        </w:r>
        <w:r w:rsidR="00733FAC">
          <w:rPr>
            <w:noProof/>
            <w:webHidden/>
          </w:rPr>
          <w:t>16</w:t>
        </w:r>
        <w:r w:rsidR="00733FAC">
          <w:rPr>
            <w:noProof/>
            <w:webHidden/>
          </w:rPr>
          <w:fldChar w:fldCharType="end"/>
        </w:r>
      </w:hyperlink>
    </w:p>
    <w:p w:rsidR="00733FAC" w:rsidRDefault="00D1774C">
      <w:pPr>
        <w:pStyle w:val="TableofFigures"/>
        <w:tabs>
          <w:tab w:val="right" w:leader="dot" w:pos="9350"/>
        </w:tabs>
        <w:rPr>
          <w:rFonts w:asciiTheme="minorHAnsi" w:eastAsiaTheme="minorEastAsia" w:hAnsiTheme="minorHAnsi" w:cstheme="minorBidi"/>
          <w:noProof/>
          <w:sz w:val="22"/>
          <w:szCs w:val="22"/>
        </w:rPr>
      </w:pPr>
      <w:hyperlink w:anchor="_Toc458439266" w:history="1">
        <w:r w:rsidR="00733FAC" w:rsidRPr="00E76B34">
          <w:rPr>
            <w:rStyle w:val="Hyperlink"/>
            <w:noProof/>
          </w:rPr>
          <w:t>Table-12: Commercial Gas Half-Size Convection Oven Cost Effectiveness Example</w:t>
        </w:r>
        <w:r w:rsidR="00733FAC">
          <w:rPr>
            <w:noProof/>
            <w:webHidden/>
          </w:rPr>
          <w:tab/>
        </w:r>
        <w:r w:rsidR="00733FAC">
          <w:rPr>
            <w:noProof/>
            <w:webHidden/>
          </w:rPr>
          <w:fldChar w:fldCharType="begin"/>
        </w:r>
        <w:r w:rsidR="00733FAC">
          <w:rPr>
            <w:noProof/>
            <w:webHidden/>
          </w:rPr>
          <w:instrText xml:space="preserve"> PAGEREF _Toc458439266 \h </w:instrText>
        </w:r>
        <w:r w:rsidR="00733FAC">
          <w:rPr>
            <w:noProof/>
            <w:webHidden/>
          </w:rPr>
        </w:r>
        <w:r w:rsidR="00733FAC">
          <w:rPr>
            <w:noProof/>
            <w:webHidden/>
          </w:rPr>
          <w:fldChar w:fldCharType="separate"/>
        </w:r>
        <w:r w:rsidR="00733FAC">
          <w:rPr>
            <w:noProof/>
            <w:webHidden/>
          </w:rPr>
          <w:t>18</w:t>
        </w:r>
        <w:r w:rsidR="00733FAC">
          <w:rPr>
            <w:noProof/>
            <w:webHidden/>
          </w:rPr>
          <w:fldChar w:fldCharType="end"/>
        </w:r>
      </w:hyperlink>
    </w:p>
    <w:p w:rsidR="00733FAC" w:rsidRDefault="00D1774C">
      <w:pPr>
        <w:pStyle w:val="TableofFigures"/>
        <w:tabs>
          <w:tab w:val="right" w:leader="dot" w:pos="9350"/>
        </w:tabs>
        <w:rPr>
          <w:rFonts w:asciiTheme="minorHAnsi" w:eastAsiaTheme="minorEastAsia" w:hAnsiTheme="minorHAnsi" w:cstheme="minorBidi"/>
          <w:noProof/>
          <w:sz w:val="22"/>
          <w:szCs w:val="22"/>
        </w:rPr>
      </w:pPr>
      <w:hyperlink w:anchor="_Toc458439267" w:history="1">
        <w:r w:rsidR="00733FAC" w:rsidRPr="00E76B34">
          <w:rPr>
            <w:rStyle w:val="Hyperlink"/>
            <w:noProof/>
          </w:rPr>
          <w:t>Table-13: Commercial Gas Full-Size Convection Oven Cost Effectiveness Example</w:t>
        </w:r>
        <w:r w:rsidR="00733FAC">
          <w:rPr>
            <w:noProof/>
            <w:webHidden/>
          </w:rPr>
          <w:tab/>
        </w:r>
        <w:r w:rsidR="00733FAC">
          <w:rPr>
            <w:noProof/>
            <w:webHidden/>
          </w:rPr>
          <w:fldChar w:fldCharType="begin"/>
        </w:r>
        <w:r w:rsidR="00733FAC">
          <w:rPr>
            <w:noProof/>
            <w:webHidden/>
          </w:rPr>
          <w:instrText xml:space="preserve"> PAGEREF _Toc458439267 \h </w:instrText>
        </w:r>
        <w:r w:rsidR="00733FAC">
          <w:rPr>
            <w:noProof/>
            <w:webHidden/>
          </w:rPr>
        </w:r>
        <w:r w:rsidR="00733FAC">
          <w:rPr>
            <w:noProof/>
            <w:webHidden/>
          </w:rPr>
          <w:fldChar w:fldCharType="separate"/>
        </w:r>
        <w:r w:rsidR="00733FAC">
          <w:rPr>
            <w:noProof/>
            <w:webHidden/>
          </w:rPr>
          <w:t>18</w:t>
        </w:r>
        <w:r w:rsidR="00733FAC">
          <w:rPr>
            <w:noProof/>
            <w:webHidden/>
          </w:rPr>
          <w:fldChar w:fldCharType="end"/>
        </w:r>
      </w:hyperlink>
    </w:p>
    <w:p w:rsidR="00733FAC" w:rsidRDefault="00D1774C">
      <w:pPr>
        <w:pStyle w:val="TableofFigures"/>
        <w:tabs>
          <w:tab w:val="right" w:leader="dot" w:pos="9350"/>
        </w:tabs>
        <w:rPr>
          <w:rFonts w:asciiTheme="minorHAnsi" w:eastAsiaTheme="minorEastAsia" w:hAnsiTheme="minorHAnsi" w:cstheme="minorBidi"/>
          <w:noProof/>
          <w:sz w:val="22"/>
          <w:szCs w:val="22"/>
        </w:rPr>
      </w:pPr>
      <w:hyperlink w:anchor="_Toc458439268" w:history="1">
        <w:r w:rsidR="00733FAC" w:rsidRPr="00E76B34">
          <w:rPr>
            <w:rStyle w:val="Hyperlink"/>
            <w:noProof/>
          </w:rPr>
          <w:t>Table-14: Commercial Gas Large Full-Size Convection Oven Cost Effectiveness Example</w:t>
        </w:r>
        <w:r w:rsidR="00733FAC">
          <w:rPr>
            <w:noProof/>
            <w:webHidden/>
          </w:rPr>
          <w:tab/>
        </w:r>
        <w:r w:rsidR="00733FAC">
          <w:rPr>
            <w:noProof/>
            <w:webHidden/>
          </w:rPr>
          <w:fldChar w:fldCharType="begin"/>
        </w:r>
        <w:r w:rsidR="00733FAC">
          <w:rPr>
            <w:noProof/>
            <w:webHidden/>
          </w:rPr>
          <w:instrText xml:space="preserve"> PAGEREF _Toc458439268 \h </w:instrText>
        </w:r>
        <w:r w:rsidR="00733FAC">
          <w:rPr>
            <w:noProof/>
            <w:webHidden/>
          </w:rPr>
        </w:r>
        <w:r w:rsidR="00733FAC">
          <w:rPr>
            <w:noProof/>
            <w:webHidden/>
          </w:rPr>
          <w:fldChar w:fldCharType="separate"/>
        </w:r>
        <w:r w:rsidR="00733FAC">
          <w:rPr>
            <w:noProof/>
            <w:webHidden/>
          </w:rPr>
          <w:t>19</w:t>
        </w:r>
        <w:r w:rsidR="00733FAC">
          <w:rPr>
            <w:noProof/>
            <w:webHidden/>
          </w:rPr>
          <w:fldChar w:fldCharType="end"/>
        </w:r>
      </w:hyperlink>
    </w:p>
    <w:p w:rsidR="00733FAC" w:rsidRDefault="00D1774C">
      <w:pPr>
        <w:pStyle w:val="TableofFigures"/>
        <w:tabs>
          <w:tab w:val="right" w:leader="dot" w:pos="9350"/>
        </w:tabs>
        <w:rPr>
          <w:rFonts w:asciiTheme="minorHAnsi" w:eastAsiaTheme="minorEastAsia" w:hAnsiTheme="minorHAnsi" w:cstheme="minorBidi"/>
          <w:noProof/>
          <w:sz w:val="22"/>
          <w:szCs w:val="22"/>
        </w:rPr>
      </w:pPr>
      <w:hyperlink w:anchor="_Toc458439269" w:history="1">
        <w:r w:rsidR="00733FAC" w:rsidRPr="00E76B34">
          <w:rPr>
            <w:rStyle w:val="Hyperlink"/>
            <w:noProof/>
          </w:rPr>
          <w:t>Table-15: Equipment Incremental Cost Data for Energy Efficient Commercial Convection Ovens</w:t>
        </w:r>
        <w:r w:rsidR="00733FAC">
          <w:rPr>
            <w:noProof/>
            <w:webHidden/>
          </w:rPr>
          <w:tab/>
        </w:r>
        <w:r w:rsidR="00733FAC">
          <w:rPr>
            <w:noProof/>
            <w:webHidden/>
          </w:rPr>
          <w:fldChar w:fldCharType="begin"/>
        </w:r>
        <w:r w:rsidR="00733FAC">
          <w:rPr>
            <w:noProof/>
            <w:webHidden/>
          </w:rPr>
          <w:instrText xml:space="preserve"> PAGEREF _Toc458439269 \h </w:instrText>
        </w:r>
        <w:r w:rsidR="00733FAC">
          <w:rPr>
            <w:noProof/>
            <w:webHidden/>
          </w:rPr>
        </w:r>
        <w:r w:rsidR="00733FAC">
          <w:rPr>
            <w:noProof/>
            <w:webHidden/>
          </w:rPr>
          <w:fldChar w:fldCharType="separate"/>
        </w:r>
        <w:r w:rsidR="00733FAC">
          <w:rPr>
            <w:noProof/>
            <w:webHidden/>
          </w:rPr>
          <w:t>22</w:t>
        </w:r>
        <w:r w:rsidR="00733FAC">
          <w:rPr>
            <w:noProof/>
            <w:webHidden/>
          </w:rPr>
          <w:fldChar w:fldCharType="end"/>
        </w:r>
      </w:hyperlink>
    </w:p>
    <w:p w:rsidR="00973E6C" w:rsidRPr="00973E6C" w:rsidRDefault="00054630" w:rsidP="00973E6C">
      <w:pPr>
        <w:pStyle w:val="Caption"/>
        <w:rPr>
          <w:lang w:val="en-US"/>
        </w:rPr>
      </w:pPr>
      <w:r>
        <w:rPr>
          <w:lang w:val="en-US"/>
        </w:rPr>
        <w:fldChar w:fldCharType="end"/>
      </w:r>
    </w:p>
    <w:p w:rsidR="00B35882" w:rsidRDefault="00B35882" w:rsidP="00B35882"/>
    <w:p w:rsidR="00B35882" w:rsidRDefault="00B35882" w:rsidP="00B35882"/>
    <w:p w:rsidR="00B35882" w:rsidRDefault="00B35882" w:rsidP="00B35882"/>
    <w:p w:rsidR="00B35882" w:rsidRDefault="00B35882" w:rsidP="00B35882"/>
    <w:p w:rsidR="00B35882" w:rsidRDefault="00B35882" w:rsidP="00B35882"/>
    <w:p w:rsidR="00B35882" w:rsidRDefault="00B35882" w:rsidP="00B35882"/>
    <w:p w:rsidR="00B35882" w:rsidRDefault="00B35882" w:rsidP="00B35882"/>
    <w:p w:rsidR="00B35882" w:rsidRDefault="00B35882" w:rsidP="00B35882"/>
    <w:p w:rsidR="00B35882" w:rsidRDefault="00B35882" w:rsidP="00B35882"/>
    <w:p w:rsidR="00B35882" w:rsidRPr="00B35882" w:rsidRDefault="00B35882" w:rsidP="00B35882"/>
    <w:p w:rsidR="00A4656C" w:rsidRDefault="00A4656C" w:rsidP="00A4656C">
      <w:pPr>
        <w:pStyle w:val="TableofFigures"/>
        <w:tabs>
          <w:tab w:val="right" w:leader="dot" w:pos="9350"/>
        </w:tabs>
      </w:pPr>
    </w:p>
    <w:p w:rsidR="004D066A" w:rsidRDefault="004D066A" w:rsidP="00F578B9">
      <w:pPr>
        <w:pStyle w:val="Heading1"/>
        <w:rPr>
          <w:lang w:val="en-US"/>
        </w:rPr>
      </w:pPr>
      <w:bookmarkStart w:id="12" w:name="_Toc172205732"/>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F578B9" w:rsidRDefault="00F578B9" w:rsidP="00F578B9">
      <w:pPr>
        <w:pStyle w:val="Heading1"/>
      </w:pPr>
      <w:bookmarkStart w:id="13" w:name="_Toc458439233"/>
      <w:r>
        <w:t>Section 1. General Measure &amp; Baseline Data</w:t>
      </w:r>
      <w:bookmarkEnd w:id="13"/>
    </w:p>
    <w:p w:rsidR="00F578B9" w:rsidRDefault="00F578B9" w:rsidP="00F578B9">
      <w:pPr>
        <w:pStyle w:val="Heading2"/>
      </w:pPr>
      <w:bookmarkStart w:id="14" w:name="_Toc458439234"/>
      <w:bookmarkEnd w:id="12"/>
      <w:r>
        <w:t xml:space="preserve">1.1 </w:t>
      </w:r>
      <w:r w:rsidR="007078E9">
        <w:t xml:space="preserve">Product </w:t>
      </w:r>
      <w:r>
        <w:t>Measure Description &amp; Background</w:t>
      </w:r>
      <w:bookmarkEnd w:id="14"/>
    </w:p>
    <w:p w:rsidR="004B45FA" w:rsidRDefault="004B45FA" w:rsidP="004B45FA">
      <w:pPr>
        <w:pStyle w:val="Heading2"/>
      </w:pPr>
      <w:bookmarkStart w:id="15" w:name="_Toc385861587"/>
      <w:bookmarkStart w:id="16" w:name="_Toc458439235"/>
      <w:bookmarkStart w:id="17" w:name="_Toc326215662"/>
      <w:r>
        <w:t>1.1 Measure Description &amp; Background</w:t>
      </w:r>
      <w:bookmarkEnd w:id="15"/>
      <w:bookmarkEnd w:id="16"/>
    </w:p>
    <w:p w:rsidR="004B45FA" w:rsidRDefault="004B45FA" w:rsidP="004B45FA">
      <w:r>
        <w:t>This work paper documents the rationale for the Energy-Efficient Commercial Convection Oven (Electric and Gas) measures as listed in the Commercial Food Service Catalog. The Commercial Food Service Catalog is part of Pacific Gas and Electric Company’s Customer Energy Efficiency Program. PG&amp;E offers incentives to non-residential customers for installing qualifying lighting, refrigeration, air-conditioning, food service, and agricultural equipment. All qualifying models must be listed in the California Energy Commissions Database and must meet the following minimum criteria.</w:t>
      </w:r>
    </w:p>
    <w:p w:rsidR="004B45FA" w:rsidRDefault="004B45FA" w:rsidP="004B45FA"/>
    <w:p w:rsidR="004B45FA" w:rsidRDefault="004B45FA" w:rsidP="004B45FA">
      <w:pPr>
        <w:rPr>
          <w:rFonts w:ascii="Arial" w:hAnsi="Arial" w:cs="Arial"/>
          <w:b/>
          <w:i/>
        </w:rPr>
      </w:pPr>
      <w:r>
        <w:rPr>
          <w:rFonts w:ascii="Arial" w:hAnsi="Arial" w:cs="Arial"/>
          <w:b/>
          <w:i/>
        </w:rPr>
        <w:t xml:space="preserve">Catalog Description – </w:t>
      </w:r>
    </w:p>
    <w:p w:rsidR="004B45FA" w:rsidRDefault="004B45FA" w:rsidP="004B45FA">
      <w:r>
        <w:rPr>
          <w:b/>
          <w:bCs/>
        </w:rPr>
        <w:t>SCE Measure:</w:t>
      </w:r>
      <w:r>
        <w:t xml:space="preserve"> The half-size electric oven must meet ENERGY STAR® specifications or have a tested heavy load potato cooking energy efficiency ≥ 71% and idle rate ≤ 1.0 kW utilizing ASTM Standard F1496.</w:t>
      </w:r>
      <w:bookmarkStart w:id="18" w:name="_Ref458160579"/>
      <w:r>
        <w:rPr>
          <w:rStyle w:val="EndnoteReference"/>
        </w:rPr>
        <w:endnoteReference w:id="1"/>
      </w:r>
      <w:bookmarkEnd w:id="18"/>
      <w:r>
        <w:t xml:space="preserve"> </w:t>
      </w:r>
    </w:p>
    <w:p w:rsidR="004B45FA" w:rsidRDefault="004B45FA" w:rsidP="004B45FA">
      <w:r w:rsidRPr="00973BE3">
        <w:rPr>
          <w:b/>
          <w:highlight w:val="yellow"/>
        </w:rPr>
        <w:t>F187</w:t>
      </w:r>
      <w:r w:rsidRPr="00973BE3">
        <w:rPr>
          <w:highlight w:val="yellow"/>
        </w:rPr>
        <w:t>: The full-size (≤ 5 pans) electric oven must meet ENERGY STAR® specifications or have a tested heavy load potato cooking energy efficiency ≥ 71% and idle rate ≤ 1.6 kW utilizing ASTM Standard F1496</w:t>
      </w:r>
      <w:r>
        <w:t xml:space="preserve">. </w:t>
      </w:r>
    </w:p>
    <w:p w:rsidR="004B45FA" w:rsidRDefault="004B45FA" w:rsidP="004B45FA">
      <w:r>
        <w:rPr>
          <w:b/>
        </w:rPr>
        <w:t>SCE Measure</w:t>
      </w:r>
      <w:r>
        <w:t xml:space="preserve">: The large full-size (&gt; 5 pans) electric oven must have a tested heavy load potato cooking energy efficiency ≥ 73% and idle rate ≤ 1.9 kW utilizing ASTM Standard F1496. </w:t>
      </w:r>
    </w:p>
    <w:p w:rsidR="004B45FA" w:rsidRDefault="004B45FA" w:rsidP="004B45FA">
      <w:pPr>
        <w:pStyle w:val="TOC1"/>
      </w:pPr>
    </w:p>
    <w:p w:rsidR="004B45FA" w:rsidRDefault="004B45FA" w:rsidP="004B45FA">
      <w:r>
        <w:rPr>
          <w:b/>
          <w:bCs/>
        </w:rPr>
        <w:t xml:space="preserve">SCG Measure: </w:t>
      </w:r>
      <w:r>
        <w:t xml:space="preserve">The half-size gas oven must have a tested heavy load potato cooking energy efficiency ≥ 46% and idle rate ≤ 8,000 Btu/h utilizing ASTM Standard F1496. </w:t>
      </w:r>
    </w:p>
    <w:p w:rsidR="004B45FA" w:rsidRDefault="004B45FA" w:rsidP="004B45FA">
      <w:r>
        <w:rPr>
          <w:b/>
        </w:rPr>
        <w:t xml:space="preserve">F188: </w:t>
      </w:r>
      <w:r>
        <w:t>The full-size (≤ 5 pans) gas oven must meet ENERGY STAR® specifications or have a tested heavy load cooking energy efficiency ≥ 46% and idle rate ≤ 12,000 Btu/h utilizing ASTM Standard F1496.</w:t>
      </w:r>
      <w:r w:rsidRPr="00486085">
        <w:t xml:space="preserve"> </w:t>
      </w:r>
    </w:p>
    <w:p w:rsidR="004B45FA" w:rsidRDefault="004B45FA" w:rsidP="004B45FA">
      <w:r>
        <w:rPr>
          <w:b/>
        </w:rPr>
        <w:t xml:space="preserve">SCG Measure: </w:t>
      </w:r>
      <w:r>
        <w:t>The large full-size (&gt; 5 pans) gas oven must have a tested heavy load potato cooking energy efficiency ≥ 46% and idle rate ≤ 13,000 Btu/h utilizing ASTM Standard F1496.</w:t>
      </w:r>
    </w:p>
    <w:p w:rsidR="004B45FA" w:rsidRDefault="004B45FA" w:rsidP="004B45FA"/>
    <w:p w:rsidR="004B45FA" w:rsidRPr="009A4B9E" w:rsidRDefault="004B45FA" w:rsidP="004B45FA">
      <w:r>
        <w:rPr>
          <w:b/>
        </w:rPr>
        <w:t xml:space="preserve">SCE1, SCE2, SCG3, SCG4:  </w:t>
      </w:r>
      <w:r>
        <w:t>Southern California Edison and Southern California Gas have further broken down the measure by size, separating out half size and large full size for both electric and gas technologies.</w:t>
      </w:r>
    </w:p>
    <w:p w:rsidR="004B45FA" w:rsidRDefault="004B45FA" w:rsidP="004B45FA"/>
    <w:p w:rsidR="004B45FA" w:rsidRDefault="004B45FA" w:rsidP="004B45FA">
      <w:pPr>
        <w:rPr>
          <w:rFonts w:ascii="Arial" w:hAnsi="Arial" w:cs="Arial"/>
          <w:b/>
          <w:i/>
        </w:rPr>
      </w:pPr>
      <w:r>
        <w:rPr>
          <w:rFonts w:ascii="Arial" w:hAnsi="Arial" w:cs="Arial"/>
          <w:b/>
          <w:i/>
        </w:rPr>
        <w:t>Program Restrictions and Guidelines</w:t>
      </w:r>
    </w:p>
    <w:p w:rsidR="004B45FA" w:rsidRDefault="004B45FA" w:rsidP="004B45FA">
      <w:pPr>
        <w:ind w:left="720"/>
        <w:rPr>
          <w:rFonts w:ascii="Arial" w:hAnsi="Arial" w:cs="Arial"/>
          <w:b/>
          <w:i/>
          <w:sz w:val="20"/>
          <w:szCs w:val="20"/>
        </w:rPr>
      </w:pPr>
      <w:r>
        <w:rPr>
          <w:rFonts w:ascii="Arial" w:hAnsi="Arial" w:cs="Arial"/>
          <w:b/>
          <w:i/>
          <w:sz w:val="20"/>
          <w:szCs w:val="20"/>
        </w:rPr>
        <w:t>Terms and Conditions</w:t>
      </w:r>
    </w:p>
    <w:p w:rsidR="004B45FA" w:rsidRDefault="004B45FA" w:rsidP="004B45FA"/>
    <w:p w:rsidR="004B45FA" w:rsidRDefault="004B45FA" w:rsidP="004B45FA">
      <w:r>
        <w:t xml:space="preserve"> F187 and F188:  The rebate is </w:t>
      </w:r>
      <w:r w:rsidRPr="001C14EC">
        <w:rPr>
          <w:b/>
        </w:rPr>
        <w:t>downstream</w:t>
      </w:r>
      <w:r>
        <w:t xml:space="preserve"> provided to the </w:t>
      </w:r>
      <w:r w:rsidRPr="001C14EC">
        <w:rPr>
          <w:b/>
        </w:rPr>
        <w:t>customer</w:t>
      </w:r>
      <w:r>
        <w:rPr>
          <w:b/>
        </w:rPr>
        <w:t xml:space="preserve"> </w:t>
      </w:r>
      <w:r w:rsidR="00E170EF">
        <w:t>at</w:t>
      </w:r>
      <w:r>
        <w:t xml:space="preserve"> the time of sale upon receipt of application and invoice. This is not a direct install program.</w:t>
      </w:r>
    </w:p>
    <w:p w:rsidR="004B45FA" w:rsidRPr="001C14EC" w:rsidRDefault="004B45FA" w:rsidP="004B45FA">
      <w:pPr>
        <w:rPr>
          <w:rFonts w:ascii="Arial" w:hAnsi="Arial" w:cs="Arial"/>
          <w:b/>
          <w:i/>
          <w:sz w:val="20"/>
          <w:szCs w:val="20"/>
        </w:rPr>
      </w:pPr>
    </w:p>
    <w:p w:rsidR="004B45FA" w:rsidRDefault="004B45FA" w:rsidP="004B45FA"/>
    <w:p w:rsidR="005D2019" w:rsidRDefault="005D2019" w:rsidP="004B45FA">
      <w:pPr>
        <w:ind w:left="720"/>
        <w:rPr>
          <w:rFonts w:ascii="Arial" w:hAnsi="Arial" w:cs="Arial"/>
          <w:b/>
          <w:i/>
          <w:sz w:val="20"/>
          <w:szCs w:val="20"/>
        </w:rPr>
      </w:pPr>
    </w:p>
    <w:p w:rsidR="005D2019" w:rsidRDefault="005D2019" w:rsidP="004B45FA">
      <w:pPr>
        <w:ind w:left="720"/>
        <w:rPr>
          <w:rFonts w:ascii="Arial" w:hAnsi="Arial" w:cs="Arial"/>
          <w:b/>
          <w:i/>
          <w:sz w:val="20"/>
          <w:szCs w:val="20"/>
        </w:rPr>
      </w:pPr>
    </w:p>
    <w:p w:rsidR="005D2019" w:rsidRDefault="005D2019" w:rsidP="004B45FA">
      <w:pPr>
        <w:ind w:left="720"/>
        <w:rPr>
          <w:rFonts w:ascii="Arial" w:hAnsi="Arial" w:cs="Arial"/>
          <w:b/>
          <w:i/>
          <w:sz w:val="20"/>
          <w:szCs w:val="20"/>
        </w:rPr>
      </w:pPr>
    </w:p>
    <w:p w:rsidR="004B45FA" w:rsidRDefault="004B45FA" w:rsidP="004B45FA">
      <w:pPr>
        <w:ind w:left="720"/>
        <w:rPr>
          <w:rFonts w:ascii="Arial" w:hAnsi="Arial" w:cs="Arial"/>
          <w:b/>
          <w:i/>
          <w:sz w:val="20"/>
          <w:szCs w:val="20"/>
        </w:rPr>
      </w:pPr>
      <w:r>
        <w:rPr>
          <w:rFonts w:ascii="Arial" w:hAnsi="Arial" w:cs="Arial"/>
          <w:b/>
          <w:i/>
          <w:sz w:val="20"/>
          <w:szCs w:val="20"/>
        </w:rPr>
        <w:lastRenderedPageBreak/>
        <w:t xml:space="preserve">Market Applicability </w:t>
      </w:r>
    </w:p>
    <w:p w:rsidR="004B45FA" w:rsidRDefault="004B45FA" w:rsidP="004B45FA">
      <w:r>
        <w:t>This measure is applicable to any commercial cooking application, including (but not limited to) casual dining and quick service restaurants, hotels, motels, schools, colleges and recreational facilities. Installations across all climate zones, building types and building vintages in the PG&amp;E Service Territory may apply.</w:t>
      </w:r>
    </w:p>
    <w:p w:rsidR="004B45FA" w:rsidRDefault="00865172" w:rsidP="007D19F7">
      <w:r>
        <w:t>These measures</w:t>
      </w:r>
      <w:r w:rsidR="004B45FA">
        <w:t xml:space="preserve"> includes new commercial electric or gas convection ovens that are ENERGY STAR® qualified</w:t>
      </w:r>
      <w:r w:rsidR="004B45FA">
        <w:rPr>
          <w:rStyle w:val="EndnoteReference"/>
        </w:rPr>
        <w:endnoteReference w:id="2"/>
      </w:r>
      <w:r w:rsidR="004B45FA">
        <w:rPr>
          <w:vertAlign w:val="superscript"/>
        </w:rPr>
        <w:t xml:space="preserve"> </w:t>
      </w:r>
      <w:r w:rsidR="004B45FA">
        <w:t>or meet the qualifications listed</w:t>
      </w:r>
      <w:r w:rsidR="007525DA">
        <w:t xml:space="preserve"> in table below</w:t>
      </w:r>
      <w:r w:rsidR="004B45FA">
        <w:t xml:space="preserve">. ENERGY STAR® maintains an updated list of qualifying products and specifications at www.energystar.gov. Consult with the manufacturer or manufacturer’s representative to determine if </w:t>
      </w:r>
      <w:r w:rsidR="00920927">
        <w:t>non</w:t>
      </w:r>
      <w:r w:rsidR="004B45FA">
        <w:t>-ENERGY STAR® qualified model meets the efficiency requirement</w:t>
      </w:r>
      <w:r w:rsidR="007525DA">
        <w:t>s.</w:t>
      </w:r>
      <w:r w:rsidR="007F0BFC">
        <w:t xml:space="preserve"> </w:t>
      </w:r>
      <w:r w:rsidR="004B45FA">
        <w:t>Used or rebuilt equipment is not eligible. Customers must provide proof that the appliance has a cooking-energy efficiency that meet</w:t>
      </w:r>
      <w:r w:rsidR="007D19F7">
        <w:t xml:space="preserve">s the requirements. </w:t>
      </w:r>
    </w:p>
    <w:p w:rsidR="007D19F7" w:rsidRPr="007D19F7" w:rsidRDefault="007D19F7" w:rsidP="007D19F7"/>
    <w:p w:rsidR="007D19F7" w:rsidRPr="00C774EF" w:rsidRDefault="007D19F7" w:rsidP="00424075">
      <w:pPr>
        <w:pStyle w:val="Caption"/>
        <w:keepNext/>
        <w:jc w:val="center"/>
        <w:rPr>
          <w:sz w:val="24"/>
          <w:szCs w:val="24"/>
          <w:lang w:val="en-US"/>
        </w:rPr>
      </w:pPr>
      <w:bookmarkStart w:id="19" w:name="_Toc458439255"/>
      <w:r w:rsidRPr="00C774EF">
        <w:rPr>
          <w:sz w:val="24"/>
          <w:szCs w:val="24"/>
        </w:rPr>
        <w:t>Table</w:t>
      </w:r>
      <w:r w:rsidR="00C774EF" w:rsidRPr="00C774EF">
        <w:rPr>
          <w:sz w:val="24"/>
          <w:szCs w:val="24"/>
          <w:lang w:val="en-US"/>
        </w:rPr>
        <w:t>-</w:t>
      </w:r>
      <w:r w:rsidRPr="00C774EF">
        <w:rPr>
          <w:sz w:val="24"/>
          <w:szCs w:val="24"/>
        </w:rPr>
        <w:fldChar w:fldCharType="begin"/>
      </w:r>
      <w:r w:rsidRPr="00C774EF">
        <w:rPr>
          <w:sz w:val="24"/>
          <w:szCs w:val="24"/>
        </w:rPr>
        <w:instrText xml:space="preserve"> SEQ Table \* ARABIC </w:instrText>
      </w:r>
      <w:r w:rsidRPr="00C774EF">
        <w:rPr>
          <w:sz w:val="24"/>
          <w:szCs w:val="24"/>
        </w:rPr>
        <w:fldChar w:fldCharType="separate"/>
      </w:r>
      <w:r w:rsidR="0078112D">
        <w:rPr>
          <w:noProof/>
          <w:sz w:val="24"/>
          <w:szCs w:val="24"/>
        </w:rPr>
        <w:t>1</w:t>
      </w:r>
      <w:r w:rsidRPr="00C774EF">
        <w:rPr>
          <w:sz w:val="24"/>
          <w:szCs w:val="24"/>
        </w:rPr>
        <w:fldChar w:fldCharType="end"/>
      </w:r>
      <w:r w:rsidR="00CC0D00">
        <w:rPr>
          <w:sz w:val="24"/>
          <w:szCs w:val="24"/>
          <w:lang w:val="en-US"/>
        </w:rPr>
        <w:t xml:space="preserve">: </w:t>
      </w:r>
      <w:r w:rsidRPr="00C774EF">
        <w:rPr>
          <w:sz w:val="24"/>
          <w:szCs w:val="24"/>
        </w:rPr>
        <w:t>Energy Efficiency Requirements for Commercial Convection Ovens</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1980"/>
        <w:gridCol w:w="2808"/>
      </w:tblGrid>
      <w:tr w:rsidR="004B45FA" w:rsidTr="001C4039">
        <w:trPr>
          <w:trHeight w:val="432"/>
        </w:trPr>
        <w:tc>
          <w:tcPr>
            <w:tcW w:w="1250" w:type="pct"/>
            <w:vAlign w:val="center"/>
          </w:tcPr>
          <w:p w:rsidR="004B45FA" w:rsidRPr="002C0558" w:rsidRDefault="004B45FA" w:rsidP="002C0558">
            <w:pPr>
              <w:jc w:val="center"/>
              <w:rPr>
                <w:rFonts w:ascii="Arial" w:hAnsi="Arial" w:cs="Arial"/>
                <w:color w:val="000000"/>
                <w:sz w:val="20"/>
                <w:szCs w:val="20"/>
              </w:rPr>
            </w:pPr>
            <w:r w:rsidRPr="002C0558">
              <w:rPr>
                <w:rFonts w:ascii="Arial" w:hAnsi="Arial" w:cs="Arial"/>
                <w:color w:val="000000"/>
                <w:sz w:val="20"/>
                <w:szCs w:val="20"/>
              </w:rPr>
              <w:t>Measure Code</w:t>
            </w:r>
          </w:p>
        </w:tc>
        <w:tc>
          <w:tcPr>
            <w:tcW w:w="1250" w:type="pct"/>
            <w:vAlign w:val="center"/>
          </w:tcPr>
          <w:p w:rsidR="004B45FA" w:rsidRDefault="004B45FA" w:rsidP="001C4039">
            <w:pPr>
              <w:rPr>
                <w:rFonts w:ascii="Arial" w:hAnsi="Arial" w:cs="Arial"/>
                <w:b/>
                <w:bCs/>
                <w:color w:val="000000"/>
                <w:sz w:val="20"/>
                <w:szCs w:val="20"/>
              </w:rPr>
            </w:pPr>
            <w:r>
              <w:rPr>
                <w:rFonts w:ascii="Arial" w:hAnsi="Arial" w:cs="Arial"/>
                <w:b/>
                <w:bCs/>
                <w:color w:val="000000"/>
                <w:sz w:val="20"/>
                <w:szCs w:val="20"/>
              </w:rPr>
              <w:t>Convection oven Type</w:t>
            </w:r>
          </w:p>
        </w:tc>
        <w:tc>
          <w:tcPr>
            <w:tcW w:w="1034" w:type="pct"/>
            <w:vAlign w:val="center"/>
          </w:tcPr>
          <w:p w:rsidR="004B45FA" w:rsidRDefault="004B45FA" w:rsidP="001C4039">
            <w:pPr>
              <w:rPr>
                <w:rFonts w:ascii="Arial" w:hAnsi="Arial" w:cs="Arial"/>
                <w:b/>
                <w:bCs/>
                <w:color w:val="000000"/>
                <w:sz w:val="20"/>
                <w:szCs w:val="20"/>
              </w:rPr>
            </w:pPr>
            <w:r>
              <w:rPr>
                <w:rFonts w:ascii="Arial" w:hAnsi="Arial" w:cs="Arial"/>
                <w:b/>
                <w:bCs/>
                <w:color w:val="000000"/>
                <w:sz w:val="20"/>
                <w:szCs w:val="20"/>
              </w:rPr>
              <w:t>Cooking-Energy Efficiency*</w:t>
            </w:r>
          </w:p>
        </w:tc>
        <w:tc>
          <w:tcPr>
            <w:tcW w:w="1466" w:type="pct"/>
          </w:tcPr>
          <w:p w:rsidR="004B45FA" w:rsidRDefault="004B45FA" w:rsidP="001C4039">
            <w:pPr>
              <w:rPr>
                <w:rFonts w:ascii="Arial" w:hAnsi="Arial" w:cs="Arial"/>
                <w:b/>
                <w:bCs/>
                <w:color w:val="000000"/>
                <w:sz w:val="20"/>
                <w:szCs w:val="20"/>
              </w:rPr>
            </w:pPr>
            <w:r>
              <w:rPr>
                <w:rFonts w:ascii="Arial" w:hAnsi="Arial" w:cs="Arial"/>
                <w:b/>
                <w:bCs/>
                <w:color w:val="000000"/>
                <w:sz w:val="20"/>
                <w:szCs w:val="20"/>
              </w:rPr>
              <w:t>Idle Energy Rate</w:t>
            </w:r>
          </w:p>
        </w:tc>
      </w:tr>
      <w:tr w:rsidR="004B45FA" w:rsidTr="00327DA4">
        <w:trPr>
          <w:trHeight w:val="288"/>
        </w:trPr>
        <w:tc>
          <w:tcPr>
            <w:tcW w:w="1250" w:type="pct"/>
            <w:vAlign w:val="center"/>
          </w:tcPr>
          <w:p w:rsidR="004B45FA" w:rsidRDefault="004B45FA" w:rsidP="001C4039">
            <w:pPr>
              <w:jc w:val="center"/>
              <w:rPr>
                <w:rFonts w:ascii="Arial" w:hAnsi="Arial" w:cs="Arial"/>
                <w:color w:val="000000"/>
                <w:sz w:val="20"/>
                <w:szCs w:val="20"/>
              </w:rPr>
            </w:pPr>
          </w:p>
        </w:tc>
        <w:tc>
          <w:tcPr>
            <w:tcW w:w="1250"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Electric Half-Size Convection Ovens</w:t>
            </w:r>
          </w:p>
        </w:tc>
        <w:tc>
          <w:tcPr>
            <w:tcW w:w="1034" w:type="pct"/>
            <w:shd w:val="clear" w:color="auto" w:fill="auto"/>
            <w:vAlign w:val="center"/>
          </w:tcPr>
          <w:p w:rsidR="004B45FA" w:rsidRPr="00327DA4" w:rsidRDefault="004B45FA" w:rsidP="001C4039">
            <w:pPr>
              <w:jc w:val="center"/>
              <w:rPr>
                <w:rFonts w:ascii="Arial" w:hAnsi="Arial" w:cs="Arial"/>
                <w:color w:val="000000"/>
                <w:sz w:val="20"/>
                <w:szCs w:val="20"/>
              </w:rPr>
            </w:pPr>
            <w:r w:rsidRPr="00327DA4">
              <w:rPr>
                <w:rFonts w:ascii="Arial" w:hAnsi="Arial" w:cs="Arial"/>
                <w:color w:val="000000"/>
                <w:sz w:val="20"/>
                <w:szCs w:val="20"/>
              </w:rPr>
              <w:t>≥ 7</w:t>
            </w:r>
            <w:r w:rsidR="00327DA4" w:rsidRPr="00327DA4">
              <w:rPr>
                <w:rFonts w:ascii="Arial" w:hAnsi="Arial" w:cs="Arial"/>
                <w:color w:val="000000"/>
                <w:sz w:val="20"/>
                <w:szCs w:val="20"/>
              </w:rPr>
              <w:t>1</w:t>
            </w:r>
            <w:r w:rsidRPr="00327DA4">
              <w:rPr>
                <w:rFonts w:ascii="Arial" w:hAnsi="Arial" w:cs="Arial"/>
                <w:color w:val="000000"/>
                <w:sz w:val="20"/>
                <w:szCs w:val="20"/>
              </w:rPr>
              <w:t>%</w:t>
            </w:r>
          </w:p>
        </w:tc>
        <w:tc>
          <w:tcPr>
            <w:tcW w:w="1466" w:type="pct"/>
            <w:vAlign w:val="center"/>
          </w:tcPr>
          <w:p w:rsidR="004B45FA" w:rsidRPr="00972927" w:rsidRDefault="00283D0C" w:rsidP="00327DA4">
            <w:pPr>
              <w:jc w:val="center"/>
              <w:rPr>
                <w:rFonts w:ascii="Arial" w:hAnsi="Arial" w:cs="Arial"/>
                <w:color w:val="000000"/>
                <w:sz w:val="20"/>
                <w:szCs w:val="20"/>
              </w:rPr>
            </w:pPr>
            <w:r>
              <w:rPr>
                <w:rFonts w:ascii="Arial" w:hAnsi="Arial" w:cs="Arial"/>
                <w:color w:val="000000"/>
                <w:sz w:val="20"/>
                <w:szCs w:val="20"/>
              </w:rPr>
              <w:t xml:space="preserve">≤ </w:t>
            </w:r>
            <w:r w:rsidR="00327DA4">
              <w:rPr>
                <w:rFonts w:ascii="Arial" w:hAnsi="Arial" w:cs="Arial"/>
                <w:color w:val="000000"/>
                <w:sz w:val="20"/>
                <w:szCs w:val="20"/>
              </w:rPr>
              <w:t>1</w:t>
            </w:r>
            <w:r w:rsidR="004B45FA">
              <w:rPr>
                <w:rFonts w:ascii="Arial" w:hAnsi="Arial" w:cs="Arial"/>
                <w:color w:val="000000"/>
                <w:sz w:val="20"/>
                <w:szCs w:val="20"/>
              </w:rPr>
              <w:t xml:space="preserve"> kW </w:t>
            </w:r>
          </w:p>
        </w:tc>
      </w:tr>
      <w:tr w:rsidR="004B45FA" w:rsidTr="00327DA4">
        <w:trPr>
          <w:trHeight w:val="288"/>
        </w:trPr>
        <w:tc>
          <w:tcPr>
            <w:tcW w:w="1250" w:type="pct"/>
            <w:vAlign w:val="center"/>
          </w:tcPr>
          <w:p w:rsidR="004B45FA" w:rsidRDefault="002C0558" w:rsidP="001C4039">
            <w:pPr>
              <w:jc w:val="center"/>
              <w:rPr>
                <w:rFonts w:ascii="Arial" w:hAnsi="Arial" w:cs="Arial"/>
                <w:color w:val="000000"/>
                <w:sz w:val="20"/>
                <w:szCs w:val="20"/>
              </w:rPr>
            </w:pPr>
            <w:r w:rsidRPr="002C0558">
              <w:rPr>
                <w:rFonts w:ascii="Arial" w:hAnsi="Arial" w:cs="Arial"/>
                <w:color w:val="000000"/>
                <w:sz w:val="20"/>
                <w:szCs w:val="20"/>
              </w:rPr>
              <w:t>F187</w:t>
            </w:r>
          </w:p>
        </w:tc>
        <w:tc>
          <w:tcPr>
            <w:tcW w:w="1250"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Electric Full-Size (≤ 5 pans) Convection Ovens</w:t>
            </w:r>
          </w:p>
        </w:tc>
        <w:tc>
          <w:tcPr>
            <w:tcW w:w="1034" w:type="pct"/>
            <w:shd w:val="clear" w:color="auto" w:fill="auto"/>
            <w:vAlign w:val="center"/>
          </w:tcPr>
          <w:p w:rsidR="004B45FA" w:rsidRPr="00327DA4" w:rsidRDefault="004B45FA" w:rsidP="001C4039">
            <w:pPr>
              <w:jc w:val="center"/>
              <w:rPr>
                <w:rFonts w:ascii="Arial" w:hAnsi="Arial" w:cs="Arial"/>
                <w:color w:val="000000"/>
                <w:sz w:val="20"/>
                <w:szCs w:val="20"/>
              </w:rPr>
            </w:pPr>
            <w:r w:rsidRPr="00327DA4">
              <w:rPr>
                <w:rFonts w:ascii="Arial" w:hAnsi="Arial" w:cs="Arial"/>
                <w:color w:val="000000"/>
                <w:sz w:val="20"/>
                <w:szCs w:val="20"/>
              </w:rPr>
              <w:t>≥ 7</w:t>
            </w:r>
            <w:r w:rsidR="00327DA4" w:rsidRPr="00327DA4">
              <w:rPr>
                <w:rFonts w:ascii="Arial" w:hAnsi="Arial" w:cs="Arial"/>
                <w:color w:val="000000"/>
                <w:sz w:val="20"/>
                <w:szCs w:val="20"/>
              </w:rPr>
              <w:t>1</w:t>
            </w:r>
            <w:r w:rsidRPr="00327DA4">
              <w:rPr>
                <w:rFonts w:ascii="Arial" w:hAnsi="Arial" w:cs="Arial"/>
                <w:color w:val="000000"/>
                <w:sz w:val="20"/>
                <w:szCs w:val="20"/>
              </w:rPr>
              <w:t>%</w:t>
            </w:r>
          </w:p>
        </w:tc>
        <w:tc>
          <w:tcPr>
            <w:tcW w:w="1466" w:type="pct"/>
            <w:vAlign w:val="center"/>
          </w:tcPr>
          <w:p w:rsidR="004B45FA" w:rsidRDefault="00430A69" w:rsidP="00327DA4">
            <w:pPr>
              <w:jc w:val="center"/>
              <w:rPr>
                <w:rFonts w:ascii="Arial" w:hAnsi="Arial" w:cs="Arial"/>
                <w:color w:val="000000"/>
                <w:sz w:val="20"/>
                <w:szCs w:val="20"/>
              </w:rPr>
            </w:pPr>
            <w:r w:rsidRPr="00327DA4">
              <w:rPr>
                <w:rFonts w:ascii="Arial" w:hAnsi="Arial" w:cs="Arial"/>
                <w:color w:val="000000"/>
                <w:sz w:val="20"/>
                <w:szCs w:val="20"/>
              </w:rPr>
              <w:t>≤ 1.</w:t>
            </w:r>
            <w:r w:rsidR="00327DA4" w:rsidRPr="00327DA4">
              <w:rPr>
                <w:rFonts w:ascii="Arial" w:hAnsi="Arial" w:cs="Arial"/>
                <w:color w:val="000000"/>
                <w:sz w:val="20"/>
                <w:szCs w:val="20"/>
              </w:rPr>
              <w:t>6</w:t>
            </w:r>
            <w:r w:rsidR="004B45FA" w:rsidRPr="00327DA4">
              <w:rPr>
                <w:rFonts w:ascii="Arial" w:hAnsi="Arial" w:cs="Arial"/>
                <w:color w:val="000000"/>
                <w:sz w:val="20"/>
                <w:szCs w:val="20"/>
              </w:rPr>
              <w:t xml:space="preserve"> kW</w:t>
            </w:r>
          </w:p>
        </w:tc>
      </w:tr>
      <w:tr w:rsidR="004B45FA" w:rsidTr="001C4039">
        <w:trPr>
          <w:trHeight w:val="288"/>
        </w:trPr>
        <w:tc>
          <w:tcPr>
            <w:tcW w:w="1250" w:type="pct"/>
            <w:vAlign w:val="center"/>
          </w:tcPr>
          <w:p w:rsidR="004B45FA" w:rsidRDefault="004B45FA" w:rsidP="001C4039">
            <w:pPr>
              <w:jc w:val="center"/>
              <w:rPr>
                <w:rFonts w:ascii="Arial" w:hAnsi="Arial" w:cs="Arial"/>
                <w:color w:val="000000"/>
                <w:sz w:val="20"/>
                <w:szCs w:val="20"/>
              </w:rPr>
            </w:pPr>
          </w:p>
        </w:tc>
        <w:tc>
          <w:tcPr>
            <w:tcW w:w="1250"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Electric Full-Size (&gt; 5 pans) Convection Ovens</w:t>
            </w:r>
          </w:p>
        </w:tc>
        <w:tc>
          <w:tcPr>
            <w:tcW w:w="1034" w:type="pct"/>
            <w:vAlign w:val="center"/>
          </w:tcPr>
          <w:p w:rsidR="004B45FA" w:rsidRPr="00972927" w:rsidRDefault="004B45FA" w:rsidP="001C4039">
            <w:pPr>
              <w:jc w:val="center"/>
              <w:rPr>
                <w:rFonts w:ascii="Arial" w:hAnsi="Arial" w:cs="Arial"/>
                <w:color w:val="000000"/>
                <w:sz w:val="20"/>
                <w:szCs w:val="20"/>
              </w:rPr>
            </w:pPr>
            <w:r w:rsidRPr="00972927">
              <w:rPr>
                <w:rFonts w:ascii="Arial" w:hAnsi="Arial" w:cs="Arial"/>
                <w:color w:val="000000"/>
                <w:sz w:val="20"/>
                <w:szCs w:val="20"/>
              </w:rPr>
              <w:t xml:space="preserve">≥ </w:t>
            </w:r>
            <w:r>
              <w:rPr>
                <w:rFonts w:ascii="Arial" w:hAnsi="Arial" w:cs="Arial"/>
                <w:color w:val="000000"/>
                <w:sz w:val="20"/>
                <w:szCs w:val="20"/>
              </w:rPr>
              <w:t>73</w:t>
            </w:r>
            <w:r w:rsidRPr="00972927">
              <w:rPr>
                <w:rFonts w:ascii="Arial" w:hAnsi="Arial" w:cs="Arial"/>
                <w:color w:val="000000"/>
                <w:sz w:val="20"/>
                <w:szCs w:val="20"/>
              </w:rPr>
              <w:t>%</w:t>
            </w:r>
          </w:p>
        </w:tc>
        <w:tc>
          <w:tcPr>
            <w:tcW w:w="1466"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 1.9 kW</w:t>
            </w:r>
          </w:p>
        </w:tc>
      </w:tr>
      <w:tr w:rsidR="004B45FA" w:rsidTr="001C4039">
        <w:trPr>
          <w:trHeight w:val="288"/>
        </w:trPr>
        <w:tc>
          <w:tcPr>
            <w:tcW w:w="1250" w:type="pct"/>
            <w:vAlign w:val="center"/>
          </w:tcPr>
          <w:p w:rsidR="004B45FA" w:rsidRDefault="004B45FA" w:rsidP="001C4039">
            <w:pPr>
              <w:jc w:val="center"/>
              <w:rPr>
                <w:rFonts w:ascii="Arial" w:hAnsi="Arial" w:cs="Arial"/>
                <w:color w:val="000000"/>
                <w:sz w:val="20"/>
                <w:szCs w:val="20"/>
              </w:rPr>
            </w:pPr>
          </w:p>
        </w:tc>
        <w:tc>
          <w:tcPr>
            <w:tcW w:w="1250"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Gas Half-Size Convection Ovens</w:t>
            </w:r>
          </w:p>
        </w:tc>
        <w:tc>
          <w:tcPr>
            <w:tcW w:w="1034" w:type="pct"/>
            <w:vAlign w:val="center"/>
          </w:tcPr>
          <w:p w:rsidR="004B45FA" w:rsidRPr="00972927" w:rsidRDefault="004B45FA" w:rsidP="001C4039">
            <w:pPr>
              <w:jc w:val="center"/>
              <w:rPr>
                <w:rFonts w:ascii="Arial" w:hAnsi="Arial" w:cs="Arial"/>
                <w:color w:val="000000"/>
                <w:sz w:val="20"/>
                <w:szCs w:val="20"/>
              </w:rPr>
            </w:pPr>
            <w:r w:rsidRPr="00972927">
              <w:rPr>
                <w:rFonts w:ascii="Arial" w:hAnsi="Arial" w:cs="Arial"/>
                <w:color w:val="000000"/>
                <w:sz w:val="20"/>
                <w:szCs w:val="20"/>
              </w:rPr>
              <w:t xml:space="preserve">≥ </w:t>
            </w:r>
            <w:r>
              <w:rPr>
                <w:rFonts w:ascii="Arial" w:hAnsi="Arial" w:cs="Arial"/>
                <w:color w:val="000000"/>
                <w:sz w:val="20"/>
                <w:szCs w:val="20"/>
              </w:rPr>
              <w:t>46</w:t>
            </w:r>
            <w:r w:rsidRPr="00972927">
              <w:rPr>
                <w:rFonts w:ascii="Arial" w:hAnsi="Arial" w:cs="Arial"/>
                <w:color w:val="000000"/>
                <w:sz w:val="20"/>
                <w:szCs w:val="20"/>
              </w:rPr>
              <w:t>%</w:t>
            </w:r>
          </w:p>
        </w:tc>
        <w:tc>
          <w:tcPr>
            <w:tcW w:w="1466"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 8,000 Btu/h</w:t>
            </w:r>
          </w:p>
        </w:tc>
      </w:tr>
      <w:tr w:rsidR="004B45FA" w:rsidTr="001C4039">
        <w:trPr>
          <w:trHeight w:val="288"/>
        </w:trPr>
        <w:tc>
          <w:tcPr>
            <w:tcW w:w="1250" w:type="pct"/>
            <w:vAlign w:val="center"/>
          </w:tcPr>
          <w:p w:rsidR="004B45FA" w:rsidRDefault="002C0558" w:rsidP="001C4039">
            <w:pPr>
              <w:jc w:val="center"/>
              <w:rPr>
                <w:rFonts w:ascii="Arial" w:hAnsi="Arial" w:cs="Arial"/>
                <w:color w:val="000000"/>
                <w:sz w:val="20"/>
                <w:szCs w:val="20"/>
              </w:rPr>
            </w:pPr>
            <w:r w:rsidRPr="002C0558">
              <w:rPr>
                <w:rFonts w:ascii="Arial" w:hAnsi="Arial" w:cs="Arial"/>
                <w:color w:val="000000"/>
                <w:sz w:val="20"/>
                <w:szCs w:val="20"/>
              </w:rPr>
              <w:t>F188</w:t>
            </w:r>
          </w:p>
        </w:tc>
        <w:tc>
          <w:tcPr>
            <w:tcW w:w="1250"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Gas Full-Size (≤ 5 pans) Convection Ovens</w:t>
            </w:r>
          </w:p>
        </w:tc>
        <w:tc>
          <w:tcPr>
            <w:tcW w:w="1034" w:type="pct"/>
            <w:vAlign w:val="center"/>
          </w:tcPr>
          <w:p w:rsidR="004B45FA" w:rsidRPr="00972927" w:rsidRDefault="004B45FA" w:rsidP="001C4039">
            <w:pPr>
              <w:jc w:val="center"/>
              <w:rPr>
                <w:rFonts w:ascii="Arial" w:hAnsi="Arial" w:cs="Arial"/>
                <w:color w:val="000000"/>
                <w:sz w:val="20"/>
                <w:szCs w:val="20"/>
              </w:rPr>
            </w:pPr>
            <w:r w:rsidRPr="00972927">
              <w:rPr>
                <w:rFonts w:ascii="Arial" w:hAnsi="Arial" w:cs="Arial"/>
                <w:color w:val="000000"/>
                <w:sz w:val="20"/>
                <w:szCs w:val="20"/>
              </w:rPr>
              <w:t xml:space="preserve">≥ </w:t>
            </w:r>
            <w:r>
              <w:rPr>
                <w:rFonts w:ascii="Arial" w:hAnsi="Arial" w:cs="Arial"/>
                <w:color w:val="000000"/>
                <w:sz w:val="20"/>
                <w:szCs w:val="20"/>
              </w:rPr>
              <w:t>46</w:t>
            </w:r>
            <w:r w:rsidRPr="00972927">
              <w:rPr>
                <w:rFonts w:ascii="Arial" w:hAnsi="Arial" w:cs="Arial"/>
                <w:color w:val="000000"/>
                <w:sz w:val="20"/>
                <w:szCs w:val="20"/>
              </w:rPr>
              <w:t>%</w:t>
            </w:r>
          </w:p>
        </w:tc>
        <w:tc>
          <w:tcPr>
            <w:tcW w:w="1466" w:type="pct"/>
            <w:vAlign w:val="center"/>
          </w:tcPr>
          <w:p w:rsidR="004B45FA" w:rsidRPr="00972927" w:rsidRDefault="004B45FA" w:rsidP="001C4039">
            <w:pPr>
              <w:jc w:val="center"/>
              <w:rPr>
                <w:rFonts w:ascii="Arial" w:hAnsi="Arial" w:cs="Arial"/>
                <w:color w:val="000000"/>
                <w:sz w:val="20"/>
                <w:szCs w:val="20"/>
              </w:rPr>
            </w:pPr>
            <w:r>
              <w:rPr>
                <w:rFonts w:ascii="Arial" w:hAnsi="Arial" w:cs="Arial"/>
                <w:color w:val="000000"/>
                <w:sz w:val="20"/>
                <w:szCs w:val="20"/>
              </w:rPr>
              <w:t>≤ 12,000 Btu/h</w:t>
            </w:r>
          </w:p>
        </w:tc>
      </w:tr>
      <w:tr w:rsidR="004B45FA" w:rsidTr="001C4039">
        <w:trPr>
          <w:trHeight w:val="288"/>
        </w:trPr>
        <w:tc>
          <w:tcPr>
            <w:tcW w:w="1250" w:type="pct"/>
            <w:vAlign w:val="center"/>
          </w:tcPr>
          <w:p w:rsidR="004B45FA" w:rsidRDefault="004B45FA" w:rsidP="001C4039">
            <w:pPr>
              <w:jc w:val="center"/>
              <w:rPr>
                <w:rFonts w:ascii="Arial" w:hAnsi="Arial" w:cs="Arial"/>
                <w:color w:val="000000"/>
                <w:sz w:val="20"/>
                <w:szCs w:val="20"/>
              </w:rPr>
            </w:pPr>
          </w:p>
        </w:tc>
        <w:tc>
          <w:tcPr>
            <w:tcW w:w="1250"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Gas Full-Size (&gt; 5 pans) Convection Ovens</w:t>
            </w:r>
          </w:p>
        </w:tc>
        <w:tc>
          <w:tcPr>
            <w:tcW w:w="1034" w:type="pct"/>
            <w:vAlign w:val="center"/>
          </w:tcPr>
          <w:p w:rsidR="004B45FA" w:rsidRPr="00972927" w:rsidRDefault="004B45FA" w:rsidP="001C4039">
            <w:pPr>
              <w:jc w:val="center"/>
              <w:rPr>
                <w:rFonts w:ascii="Arial" w:hAnsi="Arial" w:cs="Arial"/>
                <w:color w:val="000000"/>
                <w:sz w:val="20"/>
                <w:szCs w:val="20"/>
              </w:rPr>
            </w:pPr>
            <w:r w:rsidRPr="00972927">
              <w:rPr>
                <w:rFonts w:ascii="Arial" w:hAnsi="Arial" w:cs="Arial"/>
                <w:color w:val="000000"/>
                <w:sz w:val="20"/>
                <w:szCs w:val="20"/>
              </w:rPr>
              <w:t xml:space="preserve">≥ </w:t>
            </w:r>
            <w:r>
              <w:rPr>
                <w:rFonts w:ascii="Arial" w:hAnsi="Arial" w:cs="Arial"/>
                <w:color w:val="000000"/>
                <w:sz w:val="20"/>
                <w:szCs w:val="20"/>
              </w:rPr>
              <w:t>46</w:t>
            </w:r>
            <w:r w:rsidRPr="00972927">
              <w:rPr>
                <w:rFonts w:ascii="Arial" w:hAnsi="Arial" w:cs="Arial"/>
                <w:color w:val="000000"/>
                <w:sz w:val="20"/>
                <w:szCs w:val="20"/>
              </w:rPr>
              <w:t>%</w:t>
            </w:r>
          </w:p>
        </w:tc>
        <w:tc>
          <w:tcPr>
            <w:tcW w:w="1466" w:type="pct"/>
            <w:vAlign w:val="center"/>
          </w:tcPr>
          <w:p w:rsidR="004B45FA" w:rsidRDefault="004B45FA" w:rsidP="001C4039">
            <w:pPr>
              <w:jc w:val="center"/>
              <w:rPr>
                <w:rFonts w:ascii="Arial" w:hAnsi="Arial" w:cs="Arial"/>
                <w:color w:val="000000"/>
                <w:sz w:val="20"/>
                <w:szCs w:val="20"/>
              </w:rPr>
            </w:pPr>
            <w:r>
              <w:rPr>
                <w:rFonts w:ascii="Arial" w:hAnsi="Arial" w:cs="Arial"/>
                <w:color w:val="000000"/>
                <w:sz w:val="20"/>
                <w:szCs w:val="20"/>
              </w:rPr>
              <w:t>≤ 13,000 Btu/h</w:t>
            </w:r>
          </w:p>
        </w:tc>
      </w:tr>
    </w:tbl>
    <w:p w:rsidR="004B45FA" w:rsidRDefault="004B45FA" w:rsidP="004B45FA">
      <w:pPr>
        <w:pStyle w:val="BodyText"/>
        <w:rPr>
          <w:szCs w:val="24"/>
        </w:rPr>
      </w:pPr>
      <w:r>
        <w:rPr>
          <w:szCs w:val="24"/>
        </w:rPr>
        <w:t>*Based on the heavy-load potato test in ASTM F1496</w:t>
      </w:r>
      <w:r w:rsidR="00875E5A" w:rsidRPr="00875E5A">
        <w:rPr>
          <w:szCs w:val="24"/>
          <w:vertAlign w:val="superscript"/>
        </w:rPr>
        <w:fldChar w:fldCharType="begin"/>
      </w:r>
      <w:r w:rsidR="00875E5A" w:rsidRPr="00875E5A">
        <w:rPr>
          <w:szCs w:val="24"/>
          <w:vertAlign w:val="superscript"/>
        </w:rPr>
        <w:instrText xml:space="preserve"> NOTEREF _Ref458160579 \h </w:instrText>
      </w:r>
      <w:r w:rsidR="00875E5A">
        <w:rPr>
          <w:szCs w:val="24"/>
          <w:vertAlign w:val="superscript"/>
        </w:rPr>
        <w:instrText xml:space="preserve"> \* MERGEFORMAT </w:instrText>
      </w:r>
      <w:r w:rsidR="00875E5A" w:rsidRPr="00875E5A">
        <w:rPr>
          <w:szCs w:val="24"/>
          <w:vertAlign w:val="superscript"/>
        </w:rPr>
      </w:r>
      <w:r w:rsidR="00875E5A" w:rsidRPr="00875E5A">
        <w:rPr>
          <w:szCs w:val="24"/>
          <w:vertAlign w:val="superscript"/>
        </w:rPr>
        <w:fldChar w:fldCharType="separate"/>
      </w:r>
      <w:r w:rsidR="00875E5A" w:rsidRPr="00875E5A">
        <w:rPr>
          <w:szCs w:val="24"/>
          <w:vertAlign w:val="superscript"/>
        </w:rPr>
        <w:t>1</w:t>
      </w:r>
      <w:r w:rsidR="00875E5A" w:rsidRPr="00875E5A">
        <w:rPr>
          <w:szCs w:val="24"/>
          <w:vertAlign w:val="superscript"/>
        </w:rPr>
        <w:fldChar w:fldCharType="end"/>
      </w:r>
      <w:r>
        <w:rPr>
          <w:szCs w:val="24"/>
        </w:rPr>
        <w:t>.</w:t>
      </w:r>
    </w:p>
    <w:p w:rsidR="004B45FA" w:rsidRDefault="004B45FA" w:rsidP="004B45FA"/>
    <w:p w:rsidR="004B45FA" w:rsidRDefault="004B45FA" w:rsidP="004B45FA"/>
    <w:p w:rsidR="00F578B9" w:rsidRPr="0069756D" w:rsidRDefault="00F578B9" w:rsidP="00F578B9">
      <w:pPr>
        <w:pStyle w:val="Heading2"/>
      </w:pPr>
      <w:bookmarkStart w:id="20" w:name="_Toc458439236"/>
      <w:r w:rsidRPr="0069756D">
        <w:t xml:space="preserve">1.2 </w:t>
      </w:r>
      <w:r>
        <w:t xml:space="preserve">Product </w:t>
      </w:r>
      <w:r w:rsidRPr="0069756D">
        <w:t>Technical Description</w:t>
      </w:r>
      <w:bookmarkEnd w:id="17"/>
      <w:bookmarkEnd w:id="20"/>
    </w:p>
    <w:p w:rsidR="00F578B9" w:rsidRPr="005537CB" w:rsidRDefault="00F578B9" w:rsidP="004D16F9">
      <w:pPr>
        <w:pStyle w:val="Table"/>
      </w:pPr>
      <w:r>
        <w:t xml:space="preserve"> </w:t>
      </w:r>
    </w:p>
    <w:p w:rsidR="004B45FA" w:rsidRDefault="004B45FA" w:rsidP="004B45FA">
      <w:bookmarkStart w:id="21" w:name="_Toc326215663"/>
      <w:r>
        <w:t>Commercial convection ovens are the most widely used appliances in the food service industry. Many food service operations rely heavily on the versatility of ovens. Operators can cook varieties of foods in large quantities with a single appliance. An oven can be simply described as a fully enclosed, insulated chamber used to heat food. With competition rising among equipment manufacturers, new designs that incorporate timesaving features via sophisticated control packages are being introduced.</w:t>
      </w:r>
    </w:p>
    <w:p w:rsidR="004B45FA" w:rsidRDefault="004B45FA" w:rsidP="004B45FA"/>
    <w:p w:rsidR="004B45FA" w:rsidRDefault="004B45FA" w:rsidP="004B45FA">
      <w:r>
        <w:t xml:space="preserve">Ovens represent the largest appliance category in terms of the types of units manufactured of any of the major cooking equipment categories. This versatility and diversity mean that they can be found in almost any type of food service operation. A recent US study showed that 95% of commercial (non-institutional) operations reported using at least one type of oven; 98% of noncommercial (institutional) operations reported the same. The percentage of operations, </w:t>
      </w:r>
      <w:r w:rsidRPr="00CE1CBF">
        <w:t>commercial and institutional, using general bake ovens was 52% and 56%, respectively. Fifty</w:t>
      </w:r>
      <w:r>
        <w:t xml:space="preserve"> </w:t>
      </w:r>
      <w:r>
        <w:lastRenderedPageBreak/>
        <w:t>percent of the operations in the commercial sector reported using convection ovens as compared to 83% of noncommercial operations.</w:t>
      </w:r>
      <w:bookmarkStart w:id="22" w:name="_Ref299610479"/>
      <w:r>
        <w:rPr>
          <w:rStyle w:val="EndnoteReference"/>
        </w:rPr>
        <w:endnoteReference w:id="3"/>
      </w:r>
      <w:bookmarkEnd w:id="22"/>
      <w:r>
        <w:t xml:space="preserve"> </w:t>
      </w:r>
      <w:hyperlink r:id="rId15" w:history="1">
        <w:r w:rsidR="004B22CF" w:rsidRPr="00FD3F1A">
          <w:rPr>
            <w:rStyle w:val="Hyperlink"/>
          </w:rPr>
          <w:t>http://www.energy.ca.gov/reports/2003-04-10_500-03-007F.PDF</w:t>
        </w:r>
      </w:hyperlink>
    </w:p>
    <w:p w:rsidR="004B22CF" w:rsidRDefault="004B22CF" w:rsidP="004B45FA"/>
    <w:p w:rsidR="004B45FA" w:rsidRDefault="004B45FA" w:rsidP="004B45FA">
      <w:r>
        <w:t>Convection oven performance is determined by applying the ASTM Standard Test Method for the Performance of Convection Ovens (F1496).</w:t>
      </w:r>
      <w:r>
        <w:rPr>
          <w:vertAlign w:val="superscript"/>
        </w:rPr>
        <w:t xml:space="preserve"> </w:t>
      </w:r>
      <w:r>
        <w:t xml:space="preserve">The ASTM standard test method is considered to be the industry standard for quantifying the energy consumption, efficiency and cooking performance of convection ovens. </w:t>
      </w:r>
    </w:p>
    <w:p w:rsidR="004B45FA" w:rsidRDefault="004B45FA" w:rsidP="004B45FA"/>
    <w:p w:rsidR="004B45FA" w:rsidRDefault="004B45FA" w:rsidP="004B45FA">
      <w:r>
        <w:t>In 2013, ASTM F1496 was updated to accommodate a wider range of oven cavity sizes. The Energy Star v2.1 specification for commercial ovens now references the updated ASTM standard in addition to tightening the idle rate requirements for gas full-size convection ovens.</w:t>
      </w:r>
    </w:p>
    <w:p w:rsidR="004B45FA" w:rsidRDefault="004B45FA" w:rsidP="004B45FA"/>
    <w:p w:rsidR="00F578B9" w:rsidRDefault="00F578B9" w:rsidP="00F578B9">
      <w:pPr>
        <w:pStyle w:val="Heading2"/>
      </w:pPr>
      <w:bookmarkStart w:id="23" w:name="_Toc458439237"/>
      <w:r>
        <w:t xml:space="preserve">1.3 </w:t>
      </w:r>
      <w:r w:rsidR="004D16F9">
        <w:t xml:space="preserve">Measure Application </w:t>
      </w:r>
      <w:r>
        <w:t>Types</w:t>
      </w:r>
      <w:bookmarkEnd w:id="21"/>
      <w:bookmarkEnd w:id="23"/>
    </w:p>
    <w:p w:rsidR="00D45F6F" w:rsidRPr="00A4656C" w:rsidRDefault="00D45F6F" w:rsidP="00D45F6F">
      <w:pPr>
        <w:keepNext/>
        <w:rPr>
          <w:rFonts w:ascii="Arial" w:hAnsi="Arial"/>
          <w:b/>
          <w:sz w:val="22"/>
        </w:rPr>
      </w:pPr>
    </w:p>
    <w:p w:rsidR="00A979A5" w:rsidRPr="005D2019" w:rsidRDefault="00A979A5" w:rsidP="00C062A8">
      <w:pPr>
        <w:pStyle w:val="Caption"/>
        <w:keepNext/>
        <w:rPr>
          <w:sz w:val="24"/>
          <w:szCs w:val="24"/>
          <w:lang w:val="en-US"/>
        </w:rPr>
      </w:pPr>
      <w:bookmarkStart w:id="24" w:name="_Toc458439256"/>
      <w:r w:rsidRPr="005D2019">
        <w:rPr>
          <w:sz w:val="24"/>
          <w:szCs w:val="24"/>
        </w:rPr>
        <w:t>Table</w:t>
      </w:r>
      <w:r w:rsidR="005D2019" w:rsidRPr="005D2019">
        <w:rPr>
          <w:sz w:val="24"/>
          <w:szCs w:val="24"/>
          <w:lang w:val="en-US"/>
        </w:rPr>
        <w:t>-</w:t>
      </w:r>
      <w:r w:rsidRPr="005D2019">
        <w:rPr>
          <w:sz w:val="24"/>
          <w:szCs w:val="24"/>
        </w:rPr>
        <w:fldChar w:fldCharType="begin"/>
      </w:r>
      <w:r w:rsidRPr="005D2019">
        <w:rPr>
          <w:sz w:val="24"/>
          <w:szCs w:val="24"/>
        </w:rPr>
        <w:instrText xml:space="preserve"> SEQ Table \* ARABIC </w:instrText>
      </w:r>
      <w:r w:rsidRPr="005D2019">
        <w:rPr>
          <w:sz w:val="24"/>
          <w:szCs w:val="24"/>
        </w:rPr>
        <w:fldChar w:fldCharType="separate"/>
      </w:r>
      <w:r w:rsidR="0078112D">
        <w:rPr>
          <w:noProof/>
          <w:sz w:val="24"/>
          <w:szCs w:val="24"/>
        </w:rPr>
        <w:t>2</w:t>
      </w:r>
      <w:r w:rsidRPr="005D2019">
        <w:rPr>
          <w:sz w:val="24"/>
          <w:szCs w:val="24"/>
        </w:rPr>
        <w:fldChar w:fldCharType="end"/>
      </w:r>
      <w:r w:rsidR="00CC0D00">
        <w:rPr>
          <w:sz w:val="24"/>
          <w:szCs w:val="24"/>
          <w:lang w:val="en-US"/>
        </w:rPr>
        <w:t xml:space="preserve">: </w:t>
      </w:r>
      <w:r w:rsidRPr="00CC0D00">
        <w:rPr>
          <w:sz w:val="24"/>
          <w:szCs w:val="24"/>
        </w:rPr>
        <w:t>Measure Application Type</w:t>
      </w:r>
      <w:bookmarkEnd w:id="24"/>
    </w:p>
    <w:tbl>
      <w:tblPr>
        <w:tblW w:w="9090" w:type="dxa"/>
        <w:tblInd w:w="108" w:type="dxa"/>
        <w:tblLook w:val="04A0" w:firstRow="1" w:lastRow="0" w:firstColumn="1" w:lastColumn="0" w:noHBand="0" w:noVBand="1"/>
      </w:tblPr>
      <w:tblGrid>
        <w:gridCol w:w="900"/>
        <w:gridCol w:w="2610"/>
        <w:gridCol w:w="5580"/>
      </w:tblGrid>
      <w:tr w:rsidR="00D45F6F" w:rsidRPr="00D45F6F" w:rsidTr="0087631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Comment</w:t>
            </w:r>
          </w:p>
        </w:tc>
      </w:tr>
      <w:tr w:rsidR="00D45F6F" w:rsidRPr="00D45F6F" w:rsidTr="00876316">
        <w:trPr>
          <w:trHeight w:val="600"/>
        </w:trPr>
        <w:tc>
          <w:tcPr>
            <w:tcW w:w="900" w:type="dxa"/>
            <w:tcBorders>
              <w:top w:val="nil"/>
              <w:left w:val="single" w:sz="4" w:space="0" w:color="auto"/>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ER</w:t>
            </w:r>
          </w:p>
        </w:tc>
        <w:tc>
          <w:tcPr>
            <w:tcW w:w="2610" w:type="dxa"/>
            <w:tcBorders>
              <w:top w:val="nil"/>
              <w:left w:val="nil"/>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Early retirement</w:t>
            </w:r>
          </w:p>
        </w:tc>
        <w:tc>
          <w:tcPr>
            <w:tcW w:w="5580" w:type="dxa"/>
            <w:tcBorders>
              <w:top w:val="nil"/>
              <w:left w:val="nil"/>
              <w:bottom w:val="nil"/>
              <w:right w:val="single" w:sz="4" w:space="0" w:color="auto"/>
            </w:tcBorders>
            <w:shd w:val="clear" w:color="auto" w:fill="auto"/>
            <w:vAlign w:val="center"/>
            <w:hideMark/>
          </w:tcPr>
          <w:p w:rsidR="00D45F6F" w:rsidRPr="00D45F6F" w:rsidRDefault="00D45F6F" w:rsidP="00D45F6F">
            <w:pPr>
              <w:keepNext/>
              <w:rPr>
                <w:rFonts w:ascii="Calibri" w:hAnsi="Calibri" w:cs="Calibri"/>
                <w:i/>
                <w:iCs/>
                <w:sz w:val="22"/>
                <w:szCs w:val="22"/>
              </w:rPr>
            </w:pPr>
            <w:r w:rsidRPr="00D45F6F">
              <w:rPr>
                <w:rFonts w:ascii="Calibri" w:hAnsi="Calibri" w:cs="Calibri"/>
                <w:i/>
                <w:iCs/>
                <w:sz w:val="22"/>
                <w:szCs w:val="22"/>
              </w:rPr>
              <w:t>measure applied while existing equipment still viable, or retrofit of existing equipment</w:t>
            </w:r>
          </w:p>
        </w:tc>
      </w:tr>
      <w:tr w:rsidR="00D45F6F" w:rsidRPr="00D45F6F" w:rsidTr="00876316">
        <w:trPr>
          <w:trHeight w:val="600"/>
        </w:trPr>
        <w:tc>
          <w:tcPr>
            <w:tcW w:w="900" w:type="dxa"/>
            <w:tcBorders>
              <w:top w:val="nil"/>
              <w:left w:val="single" w:sz="4" w:space="0" w:color="auto"/>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ROB</w:t>
            </w:r>
          </w:p>
        </w:tc>
        <w:tc>
          <w:tcPr>
            <w:tcW w:w="2610" w:type="dxa"/>
            <w:tcBorders>
              <w:top w:val="nil"/>
              <w:left w:val="nil"/>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Replace on Burnout</w:t>
            </w:r>
          </w:p>
        </w:tc>
        <w:tc>
          <w:tcPr>
            <w:tcW w:w="5580" w:type="dxa"/>
            <w:tcBorders>
              <w:top w:val="nil"/>
              <w:left w:val="nil"/>
              <w:bottom w:val="nil"/>
              <w:right w:val="single" w:sz="4" w:space="0" w:color="auto"/>
            </w:tcBorders>
            <w:shd w:val="clear" w:color="auto" w:fill="auto"/>
            <w:vAlign w:val="center"/>
            <w:hideMark/>
          </w:tcPr>
          <w:p w:rsidR="00D45F6F" w:rsidRPr="00D45F6F" w:rsidRDefault="00D45F6F" w:rsidP="00D45F6F">
            <w:pPr>
              <w:keepNext/>
              <w:rPr>
                <w:rFonts w:ascii="Calibri" w:hAnsi="Calibri" w:cs="Calibri"/>
                <w:i/>
                <w:iCs/>
                <w:sz w:val="22"/>
                <w:szCs w:val="22"/>
              </w:rPr>
            </w:pPr>
            <w:r w:rsidRPr="00D45F6F">
              <w:rPr>
                <w:rFonts w:ascii="Calibri" w:hAnsi="Calibri" w:cs="Calibri"/>
                <w:i/>
                <w:iCs/>
                <w:sz w:val="22"/>
                <w:szCs w:val="22"/>
              </w:rPr>
              <w:t>measure applied when existing equipment fails or maintenance requires replacement</w:t>
            </w:r>
          </w:p>
        </w:tc>
      </w:tr>
      <w:tr w:rsidR="00D45F6F" w:rsidRPr="00D45F6F" w:rsidTr="00876316">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D45F6F" w:rsidRPr="00D45F6F" w:rsidRDefault="00D45F6F" w:rsidP="00D45F6F">
            <w:pPr>
              <w:rPr>
                <w:rFonts w:ascii="Calibri" w:hAnsi="Calibri" w:cs="Calibri"/>
                <w:sz w:val="22"/>
                <w:szCs w:val="22"/>
              </w:rPr>
            </w:pPr>
            <w:r w:rsidRPr="00D45F6F">
              <w:rPr>
                <w:rFonts w:ascii="Calibri" w:hAnsi="Calibri" w:cs="Calibri"/>
                <w:sz w:val="22"/>
                <w:szCs w:val="22"/>
              </w:rPr>
              <w:t>NC</w:t>
            </w:r>
          </w:p>
        </w:tc>
        <w:tc>
          <w:tcPr>
            <w:tcW w:w="2610" w:type="dxa"/>
            <w:tcBorders>
              <w:top w:val="nil"/>
              <w:left w:val="nil"/>
              <w:bottom w:val="single" w:sz="4" w:space="0" w:color="auto"/>
              <w:right w:val="nil"/>
            </w:tcBorders>
            <w:shd w:val="clear" w:color="auto" w:fill="auto"/>
            <w:noWrap/>
            <w:vAlign w:val="center"/>
            <w:hideMark/>
          </w:tcPr>
          <w:p w:rsidR="00D45F6F" w:rsidRPr="00D45F6F" w:rsidRDefault="00D45F6F" w:rsidP="00D45F6F">
            <w:pPr>
              <w:rPr>
                <w:rFonts w:ascii="Calibri" w:hAnsi="Calibri" w:cs="Calibri"/>
                <w:sz w:val="22"/>
                <w:szCs w:val="22"/>
              </w:rPr>
            </w:pPr>
            <w:r w:rsidRPr="00D45F6F">
              <w:rPr>
                <w:rFonts w:ascii="Calibri" w:hAnsi="Calibri" w:cs="Calibri"/>
                <w:sz w:val="22"/>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D45F6F" w:rsidRPr="00D45F6F" w:rsidRDefault="00D45F6F" w:rsidP="00D45F6F">
            <w:pPr>
              <w:rPr>
                <w:rFonts w:ascii="Calibri" w:hAnsi="Calibri" w:cs="Calibri"/>
                <w:i/>
                <w:iCs/>
                <w:sz w:val="22"/>
                <w:szCs w:val="22"/>
              </w:rPr>
            </w:pPr>
            <w:r w:rsidRPr="00D45F6F">
              <w:rPr>
                <w:rFonts w:ascii="Calibri" w:hAnsi="Calibri" w:cs="Calibri"/>
                <w:i/>
                <w:iCs/>
                <w:sz w:val="22"/>
                <w:szCs w:val="22"/>
              </w:rPr>
              <w:t>measure applied during construction design phase as an alternative to a code-compliant standard design</w:t>
            </w:r>
          </w:p>
        </w:tc>
      </w:tr>
    </w:tbl>
    <w:p w:rsidR="00D45F6F" w:rsidRPr="00D45F6F" w:rsidRDefault="00D45F6F" w:rsidP="00D45F6F">
      <w:pPr>
        <w:rPr>
          <w:rFonts w:ascii="Arial" w:hAnsi="Arial" w:cs="Arial"/>
          <w:sz w:val="22"/>
          <w:szCs w:val="22"/>
        </w:rPr>
      </w:pPr>
    </w:p>
    <w:p w:rsidR="00F578B9" w:rsidRDefault="00F578B9" w:rsidP="00F578B9">
      <w:pPr>
        <w:ind w:left="720"/>
        <w:rPr>
          <w:rFonts w:ascii="Arial" w:hAnsi="Arial" w:cs="Arial"/>
          <w:sz w:val="20"/>
          <w:szCs w:val="20"/>
        </w:rPr>
      </w:pPr>
    </w:p>
    <w:p w:rsidR="00F578B9" w:rsidRPr="006868BF" w:rsidRDefault="00F578B9" w:rsidP="00F578B9">
      <w:r w:rsidRPr="006868BF">
        <w:t xml:space="preserve">Since there are no EM&amp;V studies on the useful life of </w:t>
      </w:r>
      <w:r w:rsidR="00FB2403">
        <w:t xml:space="preserve">commercial </w:t>
      </w:r>
      <w:r w:rsidR="00525E14">
        <w:t xml:space="preserve">convection ovens </w:t>
      </w:r>
      <w:r w:rsidRPr="006868BF">
        <w:t xml:space="preserve">and it is standard practice in the commercial foodservice industry to purchase equipment only when it is needed (e.g., replacement or additional capacity), this measure is focused on ROB and NC applications only. </w:t>
      </w:r>
    </w:p>
    <w:p w:rsidR="00F578B9" w:rsidRDefault="00F578B9" w:rsidP="00F578B9"/>
    <w:p w:rsidR="00F578B9" w:rsidRDefault="00F578B9" w:rsidP="00F578B9">
      <w:pPr>
        <w:pStyle w:val="Heading2"/>
      </w:pPr>
      <w:bookmarkStart w:id="25" w:name="_Toc304800204"/>
      <w:bookmarkStart w:id="26" w:name="_Toc326215664"/>
      <w:bookmarkStart w:id="27" w:name="_Toc458439238"/>
      <w:r>
        <w:t>1.4 Product Base Case and Measure Case Data</w:t>
      </w:r>
      <w:bookmarkEnd w:id="25"/>
      <w:bookmarkEnd w:id="26"/>
      <w:bookmarkEnd w:id="27"/>
    </w:p>
    <w:p w:rsidR="004062EB" w:rsidRPr="00905348" w:rsidRDefault="004062EB" w:rsidP="004062EB">
      <w:pPr>
        <w:pStyle w:val="Heading3"/>
        <w:rPr>
          <w:sz w:val="28"/>
        </w:rPr>
      </w:pPr>
      <w:bookmarkStart w:id="28" w:name="_Toc326215665"/>
      <w:bookmarkStart w:id="29" w:name="_Toc458439239"/>
      <w:r w:rsidRPr="00905348">
        <w:rPr>
          <w:sz w:val="28"/>
        </w:rPr>
        <w:t>1.4.1 DEER Base Case and Measure Case Information</w:t>
      </w:r>
      <w:bookmarkEnd w:id="28"/>
      <w:bookmarkEnd w:id="29"/>
      <w:r w:rsidRPr="00905348">
        <w:rPr>
          <w:sz w:val="28"/>
        </w:rPr>
        <w:t xml:space="preserve"> </w:t>
      </w:r>
    </w:p>
    <w:p w:rsidR="004062EB" w:rsidRDefault="004062EB" w:rsidP="004062EB">
      <w:r w:rsidRPr="00BF4109">
        <w:t xml:space="preserve">The DEER database does not contain information on energy use or savings for an energy-efficient electric or gas </w:t>
      </w:r>
      <w:r w:rsidR="00FB2403">
        <w:t xml:space="preserve">commercial </w:t>
      </w:r>
      <w:r w:rsidR="00525E14">
        <w:t xml:space="preserve">convection oven </w:t>
      </w:r>
      <w:r w:rsidRPr="00BF4109">
        <w:t>measure. The only reference in DEER for Commercial cooking equipment is for Estimated Useful Life.</w:t>
      </w:r>
      <w:r>
        <w:t xml:space="preserve">  </w:t>
      </w:r>
    </w:p>
    <w:p w:rsidR="004062EB" w:rsidRPr="00553D53" w:rsidRDefault="004062EB" w:rsidP="004062EB">
      <w:pPr>
        <w:pStyle w:val="Table"/>
      </w:pPr>
    </w:p>
    <w:p w:rsidR="00475C1B" w:rsidRDefault="00C733AC" w:rsidP="00553D53">
      <w:bookmarkStart w:id="30" w:name="_Toc382482358"/>
      <w:r w:rsidRPr="00553D53">
        <w:rPr>
          <w:b/>
        </w:rPr>
        <w:t>Hours of Operation</w:t>
      </w:r>
      <w:bookmarkStart w:id="31" w:name="_Toc382482359"/>
      <w:bookmarkEnd w:id="30"/>
    </w:p>
    <w:p w:rsidR="006754F5" w:rsidRPr="00A0317E" w:rsidRDefault="006754F5" w:rsidP="009D238A">
      <w:bookmarkStart w:id="32" w:name="_Toc387489625"/>
      <w:bookmarkStart w:id="33" w:name="_Toc382482360"/>
      <w:bookmarkEnd w:id="31"/>
      <w:r>
        <w:t>This Work Paper assumes a 1</w:t>
      </w:r>
      <w:r w:rsidR="004B45FA">
        <w:t>2</w:t>
      </w:r>
      <w:r w:rsidRPr="00775F21">
        <w:t xml:space="preserve">-hour daily operating period over 365 days per year, or </w:t>
      </w:r>
      <w:r>
        <w:t>5,110</w:t>
      </w:r>
      <w:r w:rsidRPr="00775F21">
        <w:t xml:space="preserve"> hours per year.</w:t>
      </w:r>
      <w:bookmarkEnd w:id="32"/>
      <w:r>
        <w:t xml:space="preserve">  Annual hours of operation were based on market based research in collaboration with the California Energy Commission found in Appendix E Table E-4: </w:t>
      </w:r>
      <w:hyperlink r:id="rId16" w:history="1">
        <w:r w:rsidRPr="00FC2B3E">
          <w:rPr>
            <w:rStyle w:val="Hyperlink"/>
            <w:bCs/>
            <w:iCs/>
          </w:rPr>
          <w:t>http://www.energy.ca.gov/2014publications/CEC-500-2014-095/CEC-500-2014-095.pdf</w:t>
        </w:r>
      </w:hyperlink>
    </w:p>
    <w:p w:rsidR="004B45FA" w:rsidRPr="007C7B83" w:rsidRDefault="004B45FA" w:rsidP="00233A61">
      <w:bookmarkStart w:id="34" w:name="_Toc385861594"/>
      <w:bookmarkStart w:id="35" w:name="_Toc382482361"/>
      <w:bookmarkEnd w:id="33"/>
      <w:r w:rsidRPr="007C7B83">
        <w:t>12 hrs /day * 365 day/ yr = 4380 hrs</w:t>
      </w:r>
      <w:bookmarkEnd w:id="34"/>
    </w:p>
    <w:p w:rsidR="00233A61" w:rsidRDefault="00233A61" w:rsidP="005648A5">
      <w:pPr>
        <w:rPr>
          <w:b/>
        </w:rPr>
      </w:pPr>
    </w:p>
    <w:p w:rsidR="00C733AC" w:rsidRPr="005648A5" w:rsidRDefault="00C733AC" w:rsidP="005648A5">
      <w:pPr>
        <w:rPr>
          <w:b/>
        </w:rPr>
      </w:pPr>
      <w:r w:rsidRPr="005648A5">
        <w:rPr>
          <w:b/>
        </w:rPr>
        <w:lastRenderedPageBreak/>
        <w:t>Base Case &amp; Measure Case Costs</w:t>
      </w:r>
      <w:bookmarkEnd w:id="35"/>
    </w:p>
    <w:p w:rsidR="00C733AC" w:rsidRDefault="00AF51F0" w:rsidP="00C733AC">
      <w:pPr>
        <w:rPr>
          <w:rFonts w:ascii="Arial" w:hAnsi="Arial" w:cs="Arial"/>
          <w:b/>
          <w:bCs/>
          <w:i/>
          <w:iCs/>
        </w:rPr>
      </w:pPr>
      <w:r>
        <w:rPr>
          <w:bCs/>
          <w:iCs/>
        </w:rPr>
        <w:t>The base case and meas</w:t>
      </w:r>
      <w:r w:rsidR="005C537F">
        <w:rPr>
          <w:bCs/>
          <w:iCs/>
        </w:rPr>
        <w:t>ure case costs are calculated are</w:t>
      </w:r>
      <w:r>
        <w:rPr>
          <w:bCs/>
          <w:iCs/>
        </w:rPr>
        <w:t xml:space="preserve"> found in section </w:t>
      </w:r>
      <w:r w:rsidR="001F3FF1">
        <w:rPr>
          <w:bCs/>
          <w:iCs/>
        </w:rPr>
        <w:t>4</w:t>
      </w:r>
      <w:r>
        <w:rPr>
          <w:bCs/>
          <w:iCs/>
        </w:rPr>
        <w:t>.</w:t>
      </w:r>
    </w:p>
    <w:p w:rsidR="00C733AC" w:rsidRDefault="00C733AC" w:rsidP="00C733AC">
      <w:r>
        <w:rPr>
          <w:rFonts w:ascii="Arial" w:hAnsi="Arial" w:cs="Arial"/>
          <w:b/>
          <w:bCs/>
          <w:i/>
          <w:iCs/>
        </w:rPr>
        <w:t>N</w:t>
      </w:r>
      <w:r w:rsidRPr="00C733AC">
        <w:rPr>
          <w:rFonts w:ascii="Arial" w:hAnsi="Arial" w:cs="Arial"/>
          <w:b/>
          <w:bCs/>
          <w:i/>
          <w:iCs/>
        </w:rPr>
        <w:t>et-to-Gross Assumptions</w:t>
      </w:r>
      <w:r w:rsidRPr="00C733AC">
        <w:t xml:space="preserve"> </w:t>
      </w:r>
    </w:p>
    <w:p w:rsidR="00C733AC" w:rsidRDefault="00C733AC" w:rsidP="00C733AC"/>
    <w:p w:rsidR="00C733AC" w:rsidRPr="00C733AC" w:rsidRDefault="00C733AC" w:rsidP="00C733AC">
      <w:r w:rsidRPr="00C733AC">
        <w:t>DEER NTGR Values file does not specifically list commercial food ser</w:t>
      </w:r>
      <w:r w:rsidR="008B637E">
        <w:t>vice appliances</w:t>
      </w:r>
      <w:r w:rsidR="00ED5105">
        <w:t xml:space="preserve"> </w:t>
      </w:r>
      <w:r w:rsidRPr="00C733AC">
        <w:t>The default used for non-residential measures is 0.6</w:t>
      </w:r>
      <w:r w:rsidRPr="00C733AC">
        <w:rPr>
          <w:vertAlign w:val="superscript"/>
        </w:rPr>
        <w:endnoteReference w:id="4"/>
      </w:r>
      <w:r w:rsidRPr="00C733AC">
        <w:t>.</w:t>
      </w:r>
    </w:p>
    <w:p w:rsidR="00C733AC" w:rsidRPr="00C733AC" w:rsidRDefault="00C733AC" w:rsidP="00C733AC"/>
    <w:p w:rsidR="00C733AC" w:rsidRDefault="00AD3E25" w:rsidP="00C733AC">
      <w:r>
        <w:t>A</w:t>
      </w:r>
      <w:r w:rsidR="00C733AC" w:rsidRPr="00C733AC">
        <w:t>ll applicable DEER based Net-to-Gross ratios for programs that may be used by this measure</w:t>
      </w:r>
      <w:r>
        <w:t xml:space="preserve"> are shown below</w:t>
      </w:r>
      <w:r w:rsidR="00C733AC" w:rsidRPr="00C733AC">
        <w:t>.</w:t>
      </w:r>
    </w:p>
    <w:p w:rsidR="00224879" w:rsidRPr="00C733AC" w:rsidRDefault="00224879" w:rsidP="00C733AC"/>
    <w:p w:rsidR="00A979A5" w:rsidRPr="00A979A5" w:rsidRDefault="00F61D9F" w:rsidP="009B5429">
      <w:pPr>
        <w:pStyle w:val="Caption"/>
        <w:keepNext/>
        <w:jc w:val="center"/>
        <w:rPr>
          <w:lang w:val="en-US"/>
        </w:rPr>
      </w:pPr>
      <w:bookmarkStart w:id="36" w:name="_Toc458439257"/>
      <w:r>
        <w:rPr>
          <w:sz w:val="24"/>
          <w:szCs w:val="24"/>
        </w:rPr>
        <w:t>Table</w:t>
      </w:r>
      <w:r>
        <w:rPr>
          <w:sz w:val="24"/>
          <w:szCs w:val="24"/>
          <w:lang w:val="en-US"/>
        </w:rPr>
        <w:t>-</w:t>
      </w:r>
      <w:r w:rsidR="00A979A5" w:rsidRPr="00F61D9F">
        <w:rPr>
          <w:sz w:val="24"/>
          <w:szCs w:val="24"/>
        </w:rPr>
        <w:fldChar w:fldCharType="begin"/>
      </w:r>
      <w:r w:rsidR="00A979A5" w:rsidRPr="00F61D9F">
        <w:rPr>
          <w:sz w:val="24"/>
          <w:szCs w:val="24"/>
        </w:rPr>
        <w:instrText xml:space="preserve"> SEQ Table \* ARABIC </w:instrText>
      </w:r>
      <w:r w:rsidR="00A979A5" w:rsidRPr="00F61D9F">
        <w:rPr>
          <w:sz w:val="24"/>
          <w:szCs w:val="24"/>
        </w:rPr>
        <w:fldChar w:fldCharType="separate"/>
      </w:r>
      <w:r w:rsidR="0078112D">
        <w:rPr>
          <w:noProof/>
          <w:sz w:val="24"/>
          <w:szCs w:val="24"/>
        </w:rPr>
        <w:t>3</w:t>
      </w:r>
      <w:r w:rsidR="00A979A5" w:rsidRPr="00F61D9F">
        <w:rPr>
          <w:sz w:val="24"/>
          <w:szCs w:val="24"/>
        </w:rPr>
        <w:fldChar w:fldCharType="end"/>
      </w:r>
      <w:r w:rsidR="00CC0D00">
        <w:rPr>
          <w:sz w:val="24"/>
          <w:szCs w:val="24"/>
          <w:lang w:val="en-US"/>
        </w:rPr>
        <w:t xml:space="preserve">: </w:t>
      </w:r>
      <w:r w:rsidR="00A979A5" w:rsidRPr="00F61D9F">
        <w:rPr>
          <w:sz w:val="24"/>
          <w:szCs w:val="24"/>
        </w:rPr>
        <w:t>DEER 201</w:t>
      </w:r>
      <w:r w:rsidR="00D1584B">
        <w:rPr>
          <w:sz w:val="24"/>
          <w:szCs w:val="24"/>
          <w:lang w:val="en-US"/>
        </w:rPr>
        <w:t>6</w:t>
      </w:r>
      <w:r w:rsidR="00A979A5" w:rsidRPr="00F61D9F">
        <w:rPr>
          <w:sz w:val="24"/>
          <w:szCs w:val="24"/>
        </w:rPr>
        <w:t xml:space="preserve"> Net-to-Gross Ratios</w:t>
      </w:r>
      <w:bookmarkEnd w:id="36"/>
    </w:p>
    <w:tbl>
      <w:tblPr>
        <w:tblW w:w="2510"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277"/>
        <w:gridCol w:w="1530"/>
      </w:tblGrid>
      <w:tr w:rsidR="00D45F6F" w:rsidRPr="00D45F6F" w:rsidTr="009B5429">
        <w:trPr>
          <w:jc w:val="center"/>
        </w:trPr>
        <w:tc>
          <w:tcPr>
            <w:tcW w:w="3409" w:type="pct"/>
            <w:shd w:val="clear" w:color="auto" w:fill="262626"/>
            <w:vAlign w:val="bottom"/>
          </w:tcPr>
          <w:p w:rsidR="00D45F6F" w:rsidRPr="00D45F6F" w:rsidRDefault="00D45F6F" w:rsidP="00D45F6F">
            <w:pPr>
              <w:keepNext/>
              <w:keepLines/>
              <w:jc w:val="center"/>
              <w:rPr>
                <w:rFonts w:ascii="Arial" w:hAnsi="Arial" w:cs="Arial"/>
                <w:b/>
                <w:bCs/>
                <w:sz w:val="22"/>
                <w:szCs w:val="22"/>
              </w:rPr>
            </w:pPr>
          </w:p>
        </w:tc>
        <w:tc>
          <w:tcPr>
            <w:tcW w:w="1591" w:type="pct"/>
            <w:shd w:val="clear" w:color="auto" w:fill="262626"/>
            <w:vAlign w:val="bottom"/>
          </w:tcPr>
          <w:p w:rsidR="00D45F6F" w:rsidRPr="00D45F6F" w:rsidRDefault="00D45F6F" w:rsidP="00D45F6F">
            <w:pPr>
              <w:keepNext/>
              <w:keepLines/>
              <w:jc w:val="center"/>
              <w:rPr>
                <w:rFonts w:ascii="Arial" w:hAnsi="Arial" w:cs="Arial"/>
                <w:b/>
                <w:bCs/>
                <w:sz w:val="22"/>
                <w:szCs w:val="22"/>
              </w:rPr>
            </w:pPr>
          </w:p>
        </w:tc>
      </w:tr>
      <w:tr w:rsidR="00D45F6F" w:rsidRPr="00D45F6F" w:rsidTr="009B5429">
        <w:trPr>
          <w:jc w:val="center"/>
        </w:trPr>
        <w:tc>
          <w:tcPr>
            <w:tcW w:w="3409" w:type="pct"/>
            <w:shd w:val="pct5" w:color="000000" w:fill="FFFFFF"/>
            <w:vAlign w:val="bottom"/>
          </w:tcPr>
          <w:p w:rsidR="00D45F6F" w:rsidRPr="00D45F6F" w:rsidRDefault="002B23BE" w:rsidP="00D45F6F">
            <w:pPr>
              <w:keepNext/>
              <w:jc w:val="center"/>
              <w:rPr>
                <w:rFonts w:ascii="Arial" w:hAnsi="Arial" w:cs="Arial"/>
                <w:sz w:val="22"/>
                <w:szCs w:val="22"/>
              </w:rPr>
            </w:pPr>
            <w:r>
              <w:rPr>
                <w:rFonts w:ascii="Arial" w:hAnsi="Arial" w:cs="Arial"/>
                <w:sz w:val="22"/>
                <w:szCs w:val="22"/>
              </w:rPr>
              <w:t>NTG-ID</w:t>
            </w:r>
          </w:p>
        </w:tc>
        <w:tc>
          <w:tcPr>
            <w:tcW w:w="1591" w:type="pct"/>
            <w:shd w:val="pct5" w:color="000000" w:fill="FFFFFF"/>
            <w:vAlign w:val="bottom"/>
          </w:tcPr>
          <w:p w:rsidR="00D45F6F" w:rsidRPr="00D45F6F" w:rsidRDefault="00D45F6F" w:rsidP="00D45F6F">
            <w:pPr>
              <w:keepNext/>
              <w:jc w:val="center"/>
              <w:rPr>
                <w:rFonts w:ascii="Arial" w:hAnsi="Arial" w:cs="Arial"/>
                <w:sz w:val="22"/>
                <w:szCs w:val="22"/>
              </w:rPr>
            </w:pPr>
            <w:r w:rsidRPr="00D45F6F">
              <w:rPr>
                <w:rFonts w:ascii="Arial" w:hAnsi="Arial" w:cs="Arial"/>
                <w:sz w:val="22"/>
                <w:szCs w:val="22"/>
              </w:rPr>
              <w:t>NTG</w:t>
            </w:r>
          </w:p>
        </w:tc>
      </w:tr>
      <w:tr w:rsidR="00D45F6F" w:rsidRPr="00D45F6F" w:rsidTr="009B5429">
        <w:trPr>
          <w:jc w:val="center"/>
        </w:trPr>
        <w:tc>
          <w:tcPr>
            <w:tcW w:w="3409" w:type="pct"/>
            <w:shd w:val="pct20" w:color="000000" w:fill="FFFFFF"/>
            <w:vAlign w:val="bottom"/>
          </w:tcPr>
          <w:p w:rsidR="00D45F6F" w:rsidRPr="00D45F6F" w:rsidRDefault="00D45F6F" w:rsidP="00ED5105">
            <w:pPr>
              <w:jc w:val="center"/>
              <w:rPr>
                <w:rFonts w:ascii="Arial" w:hAnsi="Arial" w:cs="Arial"/>
                <w:sz w:val="22"/>
                <w:szCs w:val="22"/>
              </w:rPr>
            </w:pPr>
            <w:r w:rsidRPr="00D45F6F">
              <w:rPr>
                <w:rFonts w:ascii="Arial" w:hAnsi="Arial" w:cs="Arial"/>
                <w:sz w:val="22"/>
                <w:szCs w:val="22"/>
              </w:rPr>
              <w:t>Com-Default&gt;2yrs</w:t>
            </w:r>
          </w:p>
        </w:tc>
        <w:tc>
          <w:tcPr>
            <w:tcW w:w="1591" w:type="pct"/>
            <w:shd w:val="pct20" w:color="000000" w:fill="FFFFFF"/>
            <w:vAlign w:val="bottom"/>
          </w:tcPr>
          <w:p w:rsidR="00D45F6F" w:rsidRPr="00D45F6F" w:rsidRDefault="00D45F6F" w:rsidP="00D45F6F">
            <w:pPr>
              <w:jc w:val="center"/>
              <w:rPr>
                <w:rFonts w:ascii="Arial" w:hAnsi="Arial" w:cs="Arial"/>
                <w:sz w:val="22"/>
                <w:szCs w:val="22"/>
              </w:rPr>
            </w:pPr>
            <w:r w:rsidRPr="00D45F6F">
              <w:rPr>
                <w:rFonts w:ascii="Arial" w:hAnsi="Arial" w:cs="Arial"/>
                <w:sz w:val="22"/>
                <w:szCs w:val="22"/>
              </w:rPr>
              <w:t>0.6</w:t>
            </w:r>
          </w:p>
        </w:tc>
      </w:tr>
    </w:tbl>
    <w:p w:rsidR="009F35DB" w:rsidRDefault="009F35DB" w:rsidP="005648A5">
      <w:pPr>
        <w:rPr>
          <w:b/>
        </w:rPr>
      </w:pPr>
      <w:bookmarkStart w:id="37" w:name="_Toc382482362"/>
    </w:p>
    <w:p w:rsidR="00C733AC" w:rsidRPr="005648A5" w:rsidRDefault="00C733AC" w:rsidP="005648A5">
      <w:pPr>
        <w:rPr>
          <w:b/>
        </w:rPr>
      </w:pPr>
      <w:r w:rsidRPr="005648A5">
        <w:rPr>
          <w:b/>
        </w:rPr>
        <w:t>Effective Useful Lives</w:t>
      </w:r>
      <w:bookmarkEnd w:id="37"/>
    </w:p>
    <w:p w:rsidR="009F35DB" w:rsidRDefault="00C733AC" w:rsidP="00C733AC">
      <w:r w:rsidRPr="00C733AC">
        <w:rPr>
          <w:bCs/>
        </w:rPr>
        <w:t>DEER</w:t>
      </w:r>
      <w:r w:rsidRPr="00C733AC">
        <w:t xml:space="preserve"> database shows a EUL of 12 years and an RUL of 4 years</w:t>
      </w:r>
      <w:r w:rsidRPr="00C733AC">
        <w:rPr>
          <w:vertAlign w:val="superscript"/>
        </w:rPr>
        <w:endnoteReference w:id="5"/>
      </w:r>
      <w:r w:rsidRPr="00C733AC">
        <w:t xml:space="preserve"> for all cooking appliance measures, including electric and gas </w:t>
      </w:r>
      <w:r w:rsidR="00FB2403">
        <w:t xml:space="preserve">commercial </w:t>
      </w:r>
      <w:r w:rsidR="00831FA2">
        <w:t>convection ovens</w:t>
      </w:r>
      <w:r w:rsidR="002B23BE">
        <w:t>.</w:t>
      </w:r>
    </w:p>
    <w:p w:rsidR="00D45F6F" w:rsidRPr="00D45F6F" w:rsidRDefault="00D45F6F" w:rsidP="00C733AC">
      <w:pPr>
        <w:rPr>
          <w:b/>
        </w:rPr>
      </w:pPr>
    </w:p>
    <w:p w:rsidR="000C1666" w:rsidRPr="006C1978" w:rsidRDefault="006C1978" w:rsidP="009B5429">
      <w:pPr>
        <w:pStyle w:val="Caption"/>
        <w:keepNext/>
        <w:jc w:val="center"/>
        <w:rPr>
          <w:sz w:val="24"/>
          <w:szCs w:val="24"/>
          <w:lang w:val="en-US"/>
        </w:rPr>
      </w:pPr>
      <w:bookmarkStart w:id="38" w:name="_Toc458439258"/>
      <w:r w:rsidRPr="006C1978">
        <w:rPr>
          <w:sz w:val="24"/>
          <w:szCs w:val="24"/>
        </w:rPr>
        <w:t>Table</w:t>
      </w:r>
      <w:r w:rsidRPr="006C1978">
        <w:rPr>
          <w:sz w:val="24"/>
          <w:szCs w:val="24"/>
          <w:lang w:val="en-US"/>
        </w:rPr>
        <w:t>-</w:t>
      </w:r>
      <w:r w:rsidR="000C1666" w:rsidRPr="006C1978">
        <w:rPr>
          <w:sz w:val="24"/>
          <w:szCs w:val="24"/>
        </w:rPr>
        <w:fldChar w:fldCharType="begin"/>
      </w:r>
      <w:r w:rsidR="000C1666" w:rsidRPr="006C1978">
        <w:rPr>
          <w:sz w:val="24"/>
          <w:szCs w:val="24"/>
        </w:rPr>
        <w:instrText xml:space="preserve"> SEQ Table \* ARABIC </w:instrText>
      </w:r>
      <w:r w:rsidR="000C1666" w:rsidRPr="006C1978">
        <w:rPr>
          <w:sz w:val="24"/>
          <w:szCs w:val="24"/>
        </w:rPr>
        <w:fldChar w:fldCharType="separate"/>
      </w:r>
      <w:r w:rsidR="0078112D">
        <w:rPr>
          <w:noProof/>
          <w:sz w:val="24"/>
          <w:szCs w:val="24"/>
        </w:rPr>
        <w:t>4</w:t>
      </w:r>
      <w:r w:rsidR="000C1666" w:rsidRPr="006C1978">
        <w:rPr>
          <w:sz w:val="24"/>
          <w:szCs w:val="24"/>
        </w:rPr>
        <w:fldChar w:fldCharType="end"/>
      </w:r>
      <w:r w:rsidR="00E71002">
        <w:rPr>
          <w:sz w:val="24"/>
          <w:szCs w:val="24"/>
          <w:lang w:val="en-US"/>
        </w:rPr>
        <w:t xml:space="preserve">: </w:t>
      </w:r>
      <w:r w:rsidR="000C1666" w:rsidRPr="00E71002">
        <w:rPr>
          <w:sz w:val="24"/>
          <w:szCs w:val="24"/>
        </w:rPr>
        <w:t>DEER Effective Useful Life</w:t>
      </w:r>
      <w:bookmarkEnd w:id="38"/>
    </w:p>
    <w:tbl>
      <w:tblPr>
        <w:tblW w:w="4711"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0A0" w:firstRow="1" w:lastRow="0" w:firstColumn="1" w:lastColumn="0" w:noHBand="0" w:noVBand="0"/>
      </w:tblPr>
      <w:tblGrid>
        <w:gridCol w:w="1630"/>
        <w:gridCol w:w="1362"/>
        <w:gridCol w:w="1350"/>
        <w:gridCol w:w="1803"/>
        <w:gridCol w:w="2878"/>
      </w:tblGrid>
      <w:tr w:rsidR="009F35DB" w:rsidRPr="00D45F6F" w:rsidTr="00A15F24">
        <w:trPr>
          <w:trHeight w:val="20"/>
        </w:trPr>
        <w:tc>
          <w:tcPr>
            <w:tcW w:w="903" w:type="pct"/>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Measure Code</w:t>
            </w:r>
          </w:p>
        </w:tc>
        <w:tc>
          <w:tcPr>
            <w:tcW w:w="755"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EUL (yrs)</w:t>
            </w:r>
          </w:p>
        </w:tc>
        <w:tc>
          <w:tcPr>
            <w:tcW w:w="748" w:type="pct"/>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RUL (yrs)</w:t>
            </w:r>
          </w:p>
        </w:tc>
        <w:tc>
          <w:tcPr>
            <w:tcW w:w="999"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DEER Version</w:t>
            </w:r>
          </w:p>
        </w:tc>
        <w:tc>
          <w:tcPr>
            <w:tcW w:w="1595"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EULID</w:t>
            </w:r>
          </w:p>
        </w:tc>
      </w:tr>
      <w:tr w:rsidR="004B45FA" w:rsidRPr="00D45F6F" w:rsidTr="00A15F24">
        <w:trPr>
          <w:trHeight w:val="20"/>
        </w:trPr>
        <w:tc>
          <w:tcPr>
            <w:tcW w:w="903" w:type="pct"/>
          </w:tcPr>
          <w:p w:rsidR="004B45FA" w:rsidRPr="007C7B83" w:rsidRDefault="00BD214E" w:rsidP="00BD214E">
            <w:pPr>
              <w:jc w:val="center"/>
              <w:rPr>
                <w:rFonts w:ascii="Arial" w:hAnsi="Arial" w:cs="Arial"/>
                <w:sz w:val="18"/>
                <w:szCs w:val="18"/>
              </w:rPr>
            </w:pPr>
            <w:r>
              <w:rPr>
                <w:rFonts w:ascii="Arial" w:hAnsi="Arial" w:cs="Arial"/>
                <w:sz w:val="18"/>
                <w:szCs w:val="18"/>
              </w:rPr>
              <w:t>F187</w:t>
            </w:r>
          </w:p>
        </w:tc>
        <w:tc>
          <w:tcPr>
            <w:tcW w:w="755" w:type="pct"/>
            <w:shd w:val="clear" w:color="auto" w:fill="auto"/>
            <w:vAlign w:val="center"/>
          </w:tcPr>
          <w:p w:rsidR="004B45FA" w:rsidRPr="00A15F24" w:rsidRDefault="004B45FA" w:rsidP="00D45F6F">
            <w:pPr>
              <w:jc w:val="center"/>
              <w:rPr>
                <w:rFonts w:ascii="Arial" w:hAnsi="Arial" w:cs="Arial"/>
                <w:sz w:val="20"/>
                <w:szCs w:val="20"/>
              </w:rPr>
            </w:pPr>
            <w:r w:rsidRPr="00A15F24">
              <w:rPr>
                <w:rFonts w:ascii="Arial" w:hAnsi="Arial" w:cs="Arial"/>
                <w:sz w:val="20"/>
                <w:szCs w:val="20"/>
              </w:rPr>
              <w:t>12</w:t>
            </w:r>
          </w:p>
        </w:tc>
        <w:tc>
          <w:tcPr>
            <w:tcW w:w="748" w:type="pct"/>
            <w:vAlign w:val="center"/>
          </w:tcPr>
          <w:p w:rsidR="004B45FA" w:rsidRPr="00A15F24" w:rsidRDefault="004B45FA" w:rsidP="00D45F6F">
            <w:pPr>
              <w:jc w:val="center"/>
              <w:rPr>
                <w:rFonts w:ascii="Arial" w:hAnsi="Arial" w:cs="Arial"/>
                <w:sz w:val="20"/>
                <w:szCs w:val="20"/>
              </w:rPr>
            </w:pPr>
            <w:r w:rsidRPr="00A15F24">
              <w:rPr>
                <w:rFonts w:ascii="Arial" w:hAnsi="Arial" w:cs="Arial"/>
                <w:sz w:val="20"/>
                <w:szCs w:val="20"/>
              </w:rPr>
              <w:t>N/A</w:t>
            </w:r>
          </w:p>
        </w:tc>
        <w:tc>
          <w:tcPr>
            <w:tcW w:w="999" w:type="pct"/>
            <w:shd w:val="clear" w:color="auto" w:fill="auto"/>
            <w:vAlign w:val="center"/>
          </w:tcPr>
          <w:p w:rsidR="004B45FA" w:rsidRPr="00A15F24" w:rsidRDefault="004B45FA" w:rsidP="00DA303A">
            <w:pPr>
              <w:jc w:val="center"/>
              <w:rPr>
                <w:rFonts w:ascii="Arial" w:hAnsi="Arial" w:cs="Arial"/>
                <w:sz w:val="20"/>
                <w:szCs w:val="20"/>
              </w:rPr>
            </w:pPr>
            <w:r w:rsidRPr="00A15F24">
              <w:rPr>
                <w:rFonts w:ascii="Arial" w:hAnsi="Arial" w:cs="Arial"/>
                <w:sz w:val="20"/>
                <w:szCs w:val="20"/>
              </w:rPr>
              <w:t>DEER201</w:t>
            </w:r>
            <w:r w:rsidR="00DA303A">
              <w:rPr>
                <w:rFonts w:ascii="Arial" w:hAnsi="Arial" w:cs="Arial"/>
                <w:sz w:val="20"/>
                <w:szCs w:val="20"/>
              </w:rPr>
              <w:t>6</w:t>
            </w:r>
          </w:p>
        </w:tc>
        <w:tc>
          <w:tcPr>
            <w:tcW w:w="1595" w:type="pct"/>
            <w:shd w:val="clear" w:color="auto" w:fill="auto"/>
            <w:vAlign w:val="center"/>
          </w:tcPr>
          <w:p w:rsidR="004B45FA" w:rsidRPr="00A15F24" w:rsidRDefault="004B45FA" w:rsidP="006754F5">
            <w:pPr>
              <w:rPr>
                <w:rFonts w:ascii="Arial" w:hAnsi="Arial" w:cs="Arial"/>
                <w:sz w:val="20"/>
                <w:szCs w:val="20"/>
              </w:rPr>
            </w:pPr>
            <w:r w:rsidRPr="00A15F24">
              <w:rPr>
                <w:rFonts w:ascii="Calibri" w:hAnsi="Calibri" w:cs="Calibri"/>
                <w:color w:val="000000"/>
                <w:sz w:val="20"/>
                <w:szCs w:val="20"/>
              </w:rPr>
              <w:t>Cook-</w:t>
            </w:r>
            <w:r>
              <w:t xml:space="preserve"> </w:t>
            </w:r>
            <w:r w:rsidRPr="004B45FA">
              <w:rPr>
                <w:rFonts w:ascii="Calibri" w:hAnsi="Calibri" w:cs="Calibri"/>
                <w:color w:val="000000"/>
                <w:sz w:val="20"/>
                <w:szCs w:val="20"/>
              </w:rPr>
              <w:t>ElecConvOven</w:t>
            </w:r>
          </w:p>
        </w:tc>
      </w:tr>
      <w:tr w:rsidR="004B45FA" w:rsidRPr="00D45F6F" w:rsidTr="00A15F24">
        <w:trPr>
          <w:trHeight w:val="20"/>
        </w:trPr>
        <w:tc>
          <w:tcPr>
            <w:tcW w:w="903" w:type="pct"/>
          </w:tcPr>
          <w:p w:rsidR="004B45FA" w:rsidRPr="00A15F24" w:rsidRDefault="004B45FA" w:rsidP="00BD214E">
            <w:pPr>
              <w:jc w:val="center"/>
              <w:rPr>
                <w:rFonts w:ascii="Arial" w:hAnsi="Arial" w:cs="Arial"/>
                <w:sz w:val="20"/>
                <w:szCs w:val="20"/>
              </w:rPr>
            </w:pPr>
            <w:r>
              <w:rPr>
                <w:rFonts w:ascii="Arial" w:hAnsi="Arial" w:cs="Arial"/>
                <w:sz w:val="18"/>
                <w:szCs w:val="18"/>
              </w:rPr>
              <w:t>F188</w:t>
            </w:r>
          </w:p>
        </w:tc>
        <w:tc>
          <w:tcPr>
            <w:tcW w:w="755" w:type="pct"/>
            <w:shd w:val="clear" w:color="auto" w:fill="auto"/>
            <w:vAlign w:val="center"/>
          </w:tcPr>
          <w:p w:rsidR="004B45FA" w:rsidRPr="00A15F24" w:rsidRDefault="004B45FA" w:rsidP="00D45F6F">
            <w:pPr>
              <w:jc w:val="center"/>
              <w:rPr>
                <w:rFonts w:ascii="Arial" w:hAnsi="Arial" w:cs="Arial"/>
                <w:sz w:val="20"/>
                <w:szCs w:val="20"/>
              </w:rPr>
            </w:pPr>
            <w:r w:rsidRPr="00A15F24">
              <w:rPr>
                <w:rFonts w:ascii="Arial" w:hAnsi="Arial" w:cs="Arial"/>
                <w:sz w:val="20"/>
                <w:szCs w:val="20"/>
              </w:rPr>
              <w:t>12</w:t>
            </w:r>
          </w:p>
        </w:tc>
        <w:tc>
          <w:tcPr>
            <w:tcW w:w="748" w:type="pct"/>
            <w:vAlign w:val="center"/>
          </w:tcPr>
          <w:p w:rsidR="004B45FA" w:rsidRPr="00A15F24" w:rsidRDefault="004B45FA" w:rsidP="00D45F6F">
            <w:pPr>
              <w:jc w:val="center"/>
              <w:rPr>
                <w:rFonts w:ascii="Arial" w:hAnsi="Arial" w:cs="Arial"/>
                <w:sz w:val="20"/>
                <w:szCs w:val="20"/>
              </w:rPr>
            </w:pPr>
            <w:r w:rsidRPr="00A15F24">
              <w:rPr>
                <w:rFonts w:ascii="Arial" w:hAnsi="Arial" w:cs="Arial"/>
                <w:sz w:val="20"/>
                <w:szCs w:val="20"/>
              </w:rPr>
              <w:t>N/A</w:t>
            </w:r>
          </w:p>
        </w:tc>
        <w:tc>
          <w:tcPr>
            <w:tcW w:w="999" w:type="pct"/>
            <w:shd w:val="clear" w:color="auto" w:fill="auto"/>
            <w:vAlign w:val="center"/>
          </w:tcPr>
          <w:p w:rsidR="004B45FA" w:rsidRPr="00A15F24" w:rsidRDefault="004B45FA" w:rsidP="00DA303A">
            <w:pPr>
              <w:jc w:val="center"/>
              <w:rPr>
                <w:rFonts w:ascii="Arial" w:hAnsi="Arial" w:cs="Arial"/>
                <w:sz w:val="20"/>
                <w:szCs w:val="20"/>
              </w:rPr>
            </w:pPr>
            <w:r w:rsidRPr="00A15F24">
              <w:rPr>
                <w:rFonts w:ascii="Arial" w:hAnsi="Arial" w:cs="Arial"/>
                <w:sz w:val="20"/>
                <w:szCs w:val="20"/>
              </w:rPr>
              <w:t>DEER201</w:t>
            </w:r>
            <w:r w:rsidR="00DA303A">
              <w:rPr>
                <w:rFonts w:ascii="Arial" w:hAnsi="Arial" w:cs="Arial"/>
                <w:sz w:val="20"/>
                <w:szCs w:val="20"/>
              </w:rPr>
              <w:t>6</w:t>
            </w:r>
          </w:p>
        </w:tc>
        <w:tc>
          <w:tcPr>
            <w:tcW w:w="1595" w:type="pct"/>
            <w:shd w:val="clear" w:color="auto" w:fill="auto"/>
            <w:vAlign w:val="center"/>
          </w:tcPr>
          <w:p w:rsidR="004B45FA" w:rsidRPr="00A15F24" w:rsidRDefault="004B45FA" w:rsidP="004B45FA">
            <w:pPr>
              <w:rPr>
                <w:rFonts w:ascii="Arial" w:hAnsi="Arial" w:cs="Arial"/>
                <w:sz w:val="20"/>
                <w:szCs w:val="20"/>
              </w:rPr>
            </w:pPr>
            <w:r w:rsidRPr="00A15F24">
              <w:rPr>
                <w:rFonts w:ascii="Calibri" w:hAnsi="Calibri" w:cs="Calibri"/>
                <w:color w:val="000000"/>
                <w:sz w:val="20"/>
                <w:szCs w:val="20"/>
              </w:rPr>
              <w:t>Cook-</w:t>
            </w:r>
            <w:r w:rsidRPr="00D718E2">
              <w:rPr>
                <w:rFonts w:ascii="Calibri" w:hAnsi="Calibri" w:cs="Calibri"/>
                <w:color w:val="000000"/>
                <w:sz w:val="20"/>
                <w:szCs w:val="20"/>
              </w:rPr>
              <w:t xml:space="preserve"> </w:t>
            </w:r>
            <w:r>
              <w:rPr>
                <w:rFonts w:ascii="Calibri" w:hAnsi="Calibri" w:cs="Calibri"/>
                <w:color w:val="000000"/>
                <w:sz w:val="20"/>
                <w:szCs w:val="20"/>
              </w:rPr>
              <w:t>Gas</w:t>
            </w:r>
            <w:r w:rsidRPr="004B45FA">
              <w:rPr>
                <w:rFonts w:ascii="Calibri" w:hAnsi="Calibri" w:cs="Calibri"/>
                <w:color w:val="000000"/>
                <w:sz w:val="20"/>
                <w:szCs w:val="20"/>
              </w:rPr>
              <w:t>ConvOven</w:t>
            </w:r>
          </w:p>
        </w:tc>
      </w:tr>
    </w:tbl>
    <w:p w:rsidR="007B195B" w:rsidRDefault="007B195B" w:rsidP="007869DF">
      <w:pPr>
        <w:rPr>
          <w:rFonts w:ascii="Arial" w:hAnsi="Arial" w:cs="Arial"/>
          <w:b/>
        </w:rPr>
      </w:pPr>
    </w:p>
    <w:p w:rsidR="007869DF" w:rsidRPr="00B83999" w:rsidRDefault="00C733AC" w:rsidP="007869DF">
      <w:pPr>
        <w:rPr>
          <w:rFonts w:cs="Arial"/>
          <w:b/>
          <w:sz w:val="20"/>
          <w:szCs w:val="20"/>
        </w:rPr>
      </w:pPr>
      <w:r w:rsidRPr="00C733AC">
        <w:rPr>
          <w:rFonts w:ascii="Arial" w:hAnsi="Arial" w:cs="Arial"/>
          <w:b/>
        </w:rPr>
        <w:t>In Service Rate/ First Year Installation Rate</w:t>
      </w:r>
      <w:bookmarkStart w:id="39" w:name="_Toc382482363"/>
    </w:p>
    <w:p w:rsidR="007869DF" w:rsidRDefault="007869DF" w:rsidP="007869DF">
      <w:pPr>
        <w:rPr>
          <w:rFonts w:cs="Arial"/>
          <w:sz w:val="20"/>
          <w:szCs w:val="20"/>
        </w:rPr>
      </w:pPr>
      <w:r w:rsidRPr="009E7F8F">
        <w:t>The IR values were obtained using the DEER READI tool. The relevant IR values for the measures in this work paper are in the table below.</w:t>
      </w:r>
    </w:p>
    <w:p w:rsidR="007869DF" w:rsidRPr="004D066A" w:rsidRDefault="007869DF" w:rsidP="004D066A">
      <w:pPr>
        <w:pStyle w:val="Caption"/>
        <w:keepNext/>
        <w:rPr>
          <w:sz w:val="24"/>
          <w:szCs w:val="24"/>
        </w:rPr>
      </w:pPr>
    </w:p>
    <w:p w:rsidR="000C1666" w:rsidRPr="006C1978" w:rsidRDefault="006C1978" w:rsidP="009B5429">
      <w:pPr>
        <w:pStyle w:val="Caption"/>
        <w:keepNext/>
        <w:jc w:val="center"/>
        <w:rPr>
          <w:sz w:val="24"/>
          <w:szCs w:val="24"/>
          <w:lang w:val="en-US"/>
        </w:rPr>
      </w:pPr>
      <w:bookmarkStart w:id="40" w:name="_Toc458439259"/>
      <w:r w:rsidRPr="006C1978">
        <w:rPr>
          <w:sz w:val="24"/>
          <w:szCs w:val="24"/>
        </w:rPr>
        <w:t>Table</w:t>
      </w:r>
      <w:r w:rsidRPr="006C1978">
        <w:rPr>
          <w:sz w:val="24"/>
          <w:szCs w:val="24"/>
          <w:lang w:val="en-US"/>
        </w:rPr>
        <w:t>-</w:t>
      </w:r>
      <w:r w:rsidR="000C1666" w:rsidRPr="006C1978">
        <w:rPr>
          <w:sz w:val="24"/>
          <w:szCs w:val="24"/>
        </w:rPr>
        <w:fldChar w:fldCharType="begin"/>
      </w:r>
      <w:r w:rsidR="000C1666" w:rsidRPr="006C1978">
        <w:rPr>
          <w:sz w:val="24"/>
          <w:szCs w:val="24"/>
        </w:rPr>
        <w:instrText xml:space="preserve"> SEQ Table \* ARABIC </w:instrText>
      </w:r>
      <w:r w:rsidR="000C1666" w:rsidRPr="006C1978">
        <w:rPr>
          <w:sz w:val="24"/>
          <w:szCs w:val="24"/>
        </w:rPr>
        <w:fldChar w:fldCharType="separate"/>
      </w:r>
      <w:r w:rsidR="0078112D">
        <w:rPr>
          <w:noProof/>
          <w:sz w:val="24"/>
          <w:szCs w:val="24"/>
        </w:rPr>
        <w:t>5</w:t>
      </w:r>
      <w:r w:rsidR="000C1666" w:rsidRPr="006C1978">
        <w:rPr>
          <w:sz w:val="24"/>
          <w:szCs w:val="24"/>
        </w:rPr>
        <w:fldChar w:fldCharType="end"/>
      </w:r>
      <w:r w:rsidR="00E71002">
        <w:rPr>
          <w:sz w:val="24"/>
          <w:szCs w:val="24"/>
          <w:lang w:val="en-US"/>
        </w:rPr>
        <w:t xml:space="preserve">: </w:t>
      </w:r>
      <w:r w:rsidR="000C1666" w:rsidRPr="006C1978">
        <w:rPr>
          <w:sz w:val="24"/>
          <w:szCs w:val="24"/>
        </w:rPr>
        <w:t>Installation Rate</w:t>
      </w:r>
      <w:bookmarkEnd w:id="40"/>
    </w:p>
    <w:tbl>
      <w:tblPr>
        <w:tblW w:w="34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2"/>
        <w:gridCol w:w="2677"/>
        <w:gridCol w:w="1306"/>
        <w:gridCol w:w="1239"/>
      </w:tblGrid>
      <w:tr w:rsidR="007869DF" w:rsidRPr="00B83999" w:rsidTr="009B5429">
        <w:trPr>
          <w:jc w:val="center"/>
        </w:trPr>
        <w:tc>
          <w:tcPr>
            <w:tcW w:w="1041" w:type="pct"/>
            <w:shd w:val="clear" w:color="auto" w:fill="D9D9D9"/>
            <w:vAlign w:val="center"/>
          </w:tcPr>
          <w:p w:rsidR="007869DF" w:rsidRPr="009E7F8F" w:rsidRDefault="007869DF" w:rsidP="00D02DA8">
            <w:pPr>
              <w:jc w:val="center"/>
              <w:rPr>
                <w:rFonts w:ascii="Arial" w:hAnsi="Arial" w:cs="Arial"/>
                <w:b/>
                <w:sz w:val="20"/>
                <w:szCs w:val="20"/>
              </w:rPr>
            </w:pPr>
            <w:r w:rsidRPr="009E7F8F">
              <w:rPr>
                <w:rFonts w:ascii="Arial" w:hAnsi="Arial" w:cs="Arial"/>
                <w:b/>
                <w:sz w:val="20"/>
                <w:szCs w:val="20"/>
              </w:rPr>
              <w:t>GSIA ID</w:t>
            </w:r>
          </w:p>
        </w:tc>
        <w:tc>
          <w:tcPr>
            <w:tcW w:w="2030" w:type="pct"/>
            <w:shd w:val="clear" w:color="auto" w:fill="D9D9D9"/>
            <w:vAlign w:val="center"/>
          </w:tcPr>
          <w:p w:rsidR="007869DF" w:rsidRPr="009E7F8F" w:rsidRDefault="007869DF" w:rsidP="00D02DA8">
            <w:pPr>
              <w:jc w:val="center"/>
              <w:rPr>
                <w:rFonts w:ascii="Arial" w:hAnsi="Arial" w:cs="Arial"/>
                <w:b/>
                <w:sz w:val="20"/>
                <w:szCs w:val="20"/>
              </w:rPr>
            </w:pPr>
            <w:r w:rsidRPr="009E7F8F">
              <w:rPr>
                <w:rFonts w:ascii="Arial" w:hAnsi="Arial" w:cs="Arial"/>
                <w:b/>
                <w:sz w:val="20"/>
                <w:szCs w:val="20"/>
              </w:rPr>
              <w:t>Description</w:t>
            </w:r>
          </w:p>
        </w:tc>
        <w:tc>
          <w:tcPr>
            <w:tcW w:w="990" w:type="pct"/>
            <w:shd w:val="clear" w:color="auto" w:fill="D9D9D9"/>
            <w:vAlign w:val="center"/>
          </w:tcPr>
          <w:p w:rsidR="007869DF" w:rsidRPr="009E7F8F" w:rsidRDefault="007869DF" w:rsidP="00D02DA8">
            <w:pPr>
              <w:jc w:val="center"/>
              <w:rPr>
                <w:rFonts w:ascii="Arial" w:hAnsi="Arial" w:cs="Arial"/>
                <w:b/>
                <w:sz w:val="20"/>
                <w:szCs w:val="20"/>
              </w:rPr>
            </w:pPr>
            <w:r w:rsidRPr="009E7F8F">
              <w:rPr>
                <w:rFonts w:ascii="Arial" w:hAnsi="Arial" w:cs="Arial"/>
                <w:b/>
                <w:sz w:val="20"/>
                <w:szCs w:val="20"/>
              </w:rPr>
              <w:t>Sector</w:t>
            </w:r>
          </w:p>
        </w:tc>
        <w:tc>
          <w:tcPr>
            <w:tcW w:w="939" w:type="pct"/>
            <w:shd w:val="clear" w:color="auto" w:fill="D9D9D9"/>
            <w:vAlign w:val="center"/>
          </w:tcPr>
          <w:p w:rsidR="007869DF" w:rsidRPr="009E7F8F" w:rsidRDefault="007869DF" w:rsidP="00D02DA8">
            <w:pPr>
              <w:jc w:val="center"/>
              <w:rPr>
                <w:rFonts w:ascii="Arial" w:hAnsi="Arial" w:cs="Arial"/>
                <w:b/>
                <w:sz w:val="20"/>
                <w:szCs w:val="20"/>
              </w:rPr>
            </w:pPr>
            <w:r w:rsidRPr="009E7F8F">
              <w:rPr>
                <w:rFonts w:ascii="Arial" w:hAnsi="Arial" w:cs="Arial"/>
                <w:b/>
                <w:sz w:val="20"/>
                <w:szCs w:val="20"/>
              </w:rPr>
              <w:t>GSIAValue</w:t>
            </w:r>
          </w:p>
        </w:tc>
      </w:tr>
      <w:tr w:rsidR="007869DF" w:rsidRPr="00B83999" w:rsidTr="009B5429">
        <w:trPr>
          <w:jc w:val="center"/>
        </w:trPr>
        <w:tc>
          <w:tcPr>
            <w:tcW w:w="1041" w:type="pct"/>
            <w:shd w:val="clear" w:color="auto" w:fill="auto"/>
            <w:vAlign w:val="center"/>
          </w:tcPr>
          <w:p w:rsidR="007869DF" w:rsidRPr="009E7F8F" w:rsidRDefault="007869DF" w:rsidP="00D02DA8">
            <w:pPr>
              <w:jc w:val="center"/>
              <w:rPr>
                <w:rFonts w:ascii="Arial" w:hAnsi="Arial" w:cs="Arial"/>
                <w:sz w:val="20"/>
                <w:szCs w:val="20"/>
              </w:rPr>
            </w:pPr>
            <w:r w:rsidRPr="009E7F8F">
              <w:rPr>
                <w:rFonts w:ascii="Arial" w:hAnsi="Arial" w:cs="Arial"/>
                <w:sz w:val="20"/>
                <w:szCs w:val="20"/>
              </w:rPr>
              <w:t>Def-GSIA</w:t>
            </w:r>
          </w:p>
        </w:tc>
        <w:tc>
          <w:tcPr>
            <w:tcW w:w="2030" w:type="pct"/>
            <w:shd w:val="clear" w:color="auto" w:fill="auto"/>
            <w:vAlign w:val="center"/>
          </w:tcPr>
          <w:p w:rsidR="007869DF" w:rsidRPr="009E7F8F" w:rsidRDefault="007869DF" w:rsidP="00D02DA8">
            <w:pPr>
              <w:jc w:val="center"/>
              <w:rPr>
                <w:rFonts w:ascii="Arial" w:hAnsi="Arial" w:cs="Arial"/>
                <w:sz w:val="20"/>
                <w:szCs w:val="20"/>
              </w:rPr>
            </w:pPr>
            <w:r w:rsidRPr="009E7F8F">
              <w:rPr>
                <w:rFonts w:ascii="Arial" w:hAnsi="Arial" w:cs="Arial"/>
                <w:sz w:val="20"/>
                <w:szCs w:val="20"/>
              </w:rPr>
              <w:t>Default GSIA values</w:t>
            </w:r>
          </w:p>
        </w:tc>
        <w:tc>
          <w:tcPr>
            <w:tcW w:w="990" w:type="pct"/>
            <w:shd w:val="clear" w:color="auto" w:fill="auto"/>
            <w:vAlign w:val="center"/>
          </w:tcPr>
          <w:p w:rsidR="007869DF" w:rsidRPr="009E7F8F" w:rsidRDefault="007869DF" w:rsidP="00D02DA8">
            <w:pPr>
              <w:jc w:val="center"/>
              <w:rPr>
                <w:rFonts w:ascii="Arial" w:hAnsi="Arial" w:cs="Arial"/>
                <w:sz w:val="20"/>
                <w:szCs w:val="20"/>
              </w:rPr>
            </w:pPr>
            <w:r w:rsidRPr="009E7F8F">
              <w:rPr>
                <w:rFonts w:ascii="Arial" w:hAnsi="Arial" w:cs="Arial"/>
                <w:sz w:val="20"/>
                <w:szCs w:val="20"/>
              </w:rPr>
              <w:t>Com</w:t>
            </w:r>
          </w:p>
        </w:tc>
        <w:tc>
          <w:tcPr>
            <w:tcW w:w="939" w:type="pct"/>
            <w:shd w:val="clear" w:color="auto" w:fill="auto"/>
            <w:vAlign w:val="center"/>
          </w:tcPr>
          <w:p w:rsidR="007869DF" w:rsidRPr="009E7F8F" w:rsidRDefault="007869DF" w:rsidP="00D02DA8">
            <w:pPr>
              <w:jc w:val="center"/>
              <w:rPr>
                <w:rFonts w:ascii="Arial" w:hAnsi="Arial" w:cs="Arial"/>
                <w:sz w:val="20"/>
                <w:szCs w:val="20"/>
              </w:rPr>
            </w:pPr>
            <w:r w:rsidRPr="009E7F8F">
              <w:rPr>
                <w:rFonts w:ascii="Arial" w:hAnsi="Arial" w:cs="Arial"/>
                <w:sz w:val="20"/>
                <w:szCs w:val="20"/>
              </w:rPr>
              <w:t>1</w:t>
            </w:r>
          </w:p>
        </w:tc>
      </w:tr>
    </w:tbl>
    <w:p w:rsidR="00F578B9" w:rsidRDefault="00F578B9" w:rsidP="00905348">
      <w:pPr>
        <w:pStyle w:val="Heading3"/>
        <w:rPr>
          <w:sz w:val="28"/>
          <w:lang w:val="en-US"/>
        </w:rPr>
      </w:pPr>
      <w:bookmarkStart w:id="41" w:name="_Toc304800206"/>
      <w:bookmarkStart w:id="42" w:name="_Toc326215666"/>
      <w:bookmarkStart w:id="43" w:name="_Toc458439240"/>
      <w:bookmarkEnd w:id="39"/>
      <w:r w:rsidRPr="00905348">
        <w:rPr>
          <w:sz w:val="28"/>
        </w:rPr>
        <w:t>1.4.2 Codes &amp; Standards Requirements Base Case and Measure Information</w:t>
      </w:r>
      <w:bookmarkEnd w:id="41"/>
      <w:bookmarkEnd w:id="42"/>
      <w:bookmarkEnd w:id="43"/>
    </w:p>
    <w:p w:rsidR="0037520D" w:rsidRPr="0037520D" w:rsidRDefault="0037520D" w:rsidP="0037520D">
      <w:pPr>
        <w:rPr>
          <w:lang w:eastAsia="x-none"/>
        </w:rPr>
      </w:pPr>
    </w:p>
    <w:p w:rsidR="00F578B9" w:rsidRPr="0037520D" w:rsidRDefault="00F578B9" w:rsidP="00755F6D">
      <w:pPr>
        <w:pStyle w:val="Heading4"/>
        <w:rPr>
          <w:sz w:val="24"/>
          <w:szCs w:val="24"/>
        </w:rPr>
      </w:pPr>
      <w:bookmarkStart w:id="44" w:name="_Toc221106777"/>
      <w:r w:rsidRPr="0037520D">
        <w:rPr>
          <w:sz w:val="24"/>
          <w:szCs w:val="24"/>
        </w:rPr>
        <w:t>California Title 20</w:t>
      </w:r>
      <w:bookmarkEnd w:id="44"/>
    </w:p>
    <w:p w:rsidR="004B45FA" w:rsidRDefault="004B45FA" w:rsidP="004B45FA">
      <w:r>
        <w:t>California Title 20 Appliance Efficiency Standards does require reporting the convection oven idle energy rate per ASTM F1496 for the CEC Appliance Database, but the standard contains no minimum performance requirement.</w:t>
      </w:r>
      <w:r>
        <w:rPr>
          <w:rStyle w:val="EndnoteReference"/>
        </w:rPr>
        <w:endnoteReference w:id="6"/>
      </w:r>
      <w:r>
        <w:t xml:space="preserve"> </w:t>
      </w:r>
    </w:p>
    <w:p w:rsidR="00F578B9" w:rsidRPr="0037520D" w:rsidRDefault="00F578B9" w:rsidP="00755F6D">
      <w:pPr>
        <w:pStyle w:val="Heading4"/>
        <w:rPr>
          <w:sz w:val="24"/>
          <w:szCs w:val="24"/>
        </w:rPr>
      </w:pPr>
      <w:r w:rsidRPr="0037520D">
        <w:rPr>
          <w:sz w:val="24"/>
          <w:szCs w:val="24"/>
        </w:rPr>
        <w:t>California Title 24</w:t>
      </w:r>
    </w:p>
    <w:p w:rsidR="003A0430" w:rsidRDefault="00F578B9" w:rsidP="003A0430">
      <w:pPr>
        <w:pStyle w:val="WPText"/>
        <w:rPr>
          <w:color w:val="000000"/>
        </w:rPr>
      </w:pPr>
      <w:r w:rsidRPr="00935DFF">
        <w:rPr>
          <w:color w:val="000000"/>
        </w:rPr>
        <w:t>There are no State of California Title 24 Efficiency Regulation</w:t>
      </w:r>
      <w:bookmarkStart w:id="45" w:name="_Ref210539100"/>
      <w:r w:rsidRPr="00935DFF">
        <w:rPr>
          <w:color w:val="000000"/>
        </w:rPr>
        <w:t xml:space="preserve"> </w:t>
      </w:r>
      <w:bookmarkEnd w:id="45"/>
      <w:r w:rsidRPr="00935DFF">
        <w:rPr>
          <w:color w:val="000000"/>
        </w:rPr>
        <w:t xml:space="preserve">requirements for </w:t>
      </w:r>
      <w:r w:rsidR="00AC4B6F">
        <w:rPr>
          <w:color w:val="000000"/>
        </w:rPr>
        <w:t xml:space="preserve">commercial </w:t>
      </w:r>
      <w:r w:rsidR="004B45FA">
        <w:rPr>
          <w:color w:val="000000"/>
        </w:rPr>
        <w:t>convection ovens</w:t>
      </w:r>
      <w:r w:rsidRPr="00935DFF">
        <w:rPr>
          <w:color w:val="000000"/>
        </w:rPr>
        <w:t>.</w:t>
      </w:r>
      <w:bookmarkStart w:id="46" w:name="_Toc221106776"/>
    </w:p>
    <w:p w:rsidR="003A0430" w:rsidRDefault="004062EB" w:rsidP="003A0430">
      <w:pPr>
        <w:pStyle w:val="WPText"/>
      </w:pPr>
      <w:r w:rsidRPr="003A0430">
        <w:rPr>
          <w:rFonts w:ascii="Arial" w:hAnsi="Arial"/>
          <w:b/>
          <w:lang w:val="x-none" w:eastAsia="x-none"/>
        </w:rPr>
        <w:t>Federal</w:t>
      </w:r>
      <w:bookmarkEnd w:id="46"/>
    </w:p>
    <w:p w:rsidR="004062EB" w:rsidRPr="003A0430" w:rsidRDefault="004062EB" w:rsidP="003A0430">
      <w:pPr>
        <w:pStyle w:val="WPText"/>
      </w:pPr>
      <w:r w:rsidRPr="003A0430">
        <w:rPr>
          <w:color w:val="000000"/>
        </w:rPr>
        <w:t xml:space="preserve">There are no Federal energy efficiency requirements for </w:t>
      </w:r>
      <w:r w:rsidR="004B45FA" w:rsidRPr="003A0430">
        <w:rPr>
          <w:color w:val="000000"/>
        </w:rPr>
        <w:t>commercial convection ovens</w:t>
      </w:r>
      <w:r w:rsidRPr="003A0430">
        <w:rPr>
          <w:color w:val="000000"/>
        </w:rPr>
        <w:t>.</w:t>
      </w:r>
    </w:p>
    <w:p w:rsidR="00F578B9" w:rsidRDefault="00917007" w:rsidP="004062EB">
      <w:pPr>
        <w:pStyle w:val="Heading4"/>
        <w:rPr>
          <w:lang w:val="en-US"/>
        </w:rPr>
      </w:pPr>
      <w:r>
        <w:rPr>
          <w:lang w:val="en-US"/>
        </w:rPr>
        <w:lastRenderedPageBreak/>
        <w:t xml:space="preserve">American </w:t>
      </w:r>
      <w:r w:rsidR="00F578B9" w:rsidRPr="00905348">
        <w:t>S</w:t>
      </w:r>
      <w:r>
        <w:rPr>
          <w:lang w:val="en-US"/>
        </w:rPr>
        <w:t xml:space="preserve">ociety for </w:t>
      </w:r>
      <w:r w:rsidR="00F578B9" w:rsidRPr="00905348">
        <w:t>T</w:t>
      </w:r>
      <w:r>
        <w:rPr>
          <w:lang w:val="en-US"/>
        </w:rPr>
        <w:t xml:space="preserve">esting and </w:t>
      </w:r>
      <w:r w:rsidR="00F578B9" w:rsidRPr="00905348">
        <w:t>M</w:t>
      </w:r>
      <w:r>
        <w:rPr>
          <w:lang w:val="en-US"/>
        </w:rPr>
        <w:t>aterials</w:t>
      </w:r>
      <w:r w:rsidR="006754F5">
        <w:rPr>
          <w:lang w:val="en-US"/>
        </w:rPr>
        <w:t xml:space="preserve"> </w:t>
      </w:r>
      <w:r>
        <w:rPr>
          <w:lang w:val="en-US"/>
        </w:rPr>
        <w:t>(ASTM)</w:t>
      </w:r>
      <w:r w:rsidR="00F578B9" w:rsidRPr="00905348">
        <w:t xml:space="preserve"> Standards</w:t>
      </w:r>
    </w:p>
    <w:p w:rsidR="004B45FA" w:rsidRDefault="004B45FA" w:rsidP="004B45FA">
      <w:bookmarkStart w:id="47" w:name="_Toc326215667"/>
      <w:r w:rsidRPr="004B45FA">
        <w:t>ASTM Standards:</w:t>
      </w:r>
      <w:r>
        <w:t xml:space="preserve"> ASTM Standard Test Method for the</w:t>
      </w:r>
      <w:r>
        <w:rPr>
          <w:rFonts w:ascii="Arial" w:hAnsi="Arial" w:cs="Arial"/>
          <w:i/>
          <w:iCs/>
        </w:rPr>
        <w:t xml:space="preserve"> </w:t>
      </w:r>
      <w:r>
        <w:t>Performance of Convection ovens (F1496) is applicable for estimating energy use and cooking performance. It was used to estimate the energy consumption of the base case and measure equipment.</w:t>
      </w:r>
    </w:p>
    <w:p w:rsidR="00F578B9" w:rsidRPr="00905348" w:rsidRDefault="00F578B9" w:rsidP="00905348">
      <w:pPr>
        <w:pStyle w:val="Heading3"/>
        <w:rPr>
          <w:sz w:val="28"/>
        </w:rPr>
      </w:pPr>
      <w:bookmarkStart w:id="48" w:name="_Toc458439241"/>
      <w:r w:rsidRPr="00905348">
        <w:rPr>
          <w:sz w:val="28"/>
        </w:rPr>
        <w:t>1.4.3 EM&amp;V, Market Potential, and Other Studies – Base Case and Measure Case Information</w:t>
      </w:r>
      <w:bookmarkEnd w:id="47"/>
      <w:bookmarkEnd w:id="48"/>
    </w:p>
    <w:p w:rsidR="00F578B9" w:rsidRDefault="00F578B9" w:rsidP="00F578B9">
      <w:r>
        <w:t>There were no specific EM&amp;V studies identified that addressed cooking measures in the commercial sector.</w:t>
      </w:r>
    </w:p>
    <w:p w:rsidR="00F578B9" w:rsidRPr="00905348" w:rsidRDefault="00F578B9" w:rsidP="00905348">
      <w:pPr>
        <w:pStyle w:val="Heading3"/>
        <w:rPr>
          <w:sz w:val="28"/>
        </w:rPr>
      </w:pPr>
      <w:bookmarkStart w:id="49" w:name="_Toc304800208"/>
      <w:bookmarkStart w:id="50" w:name="_Toc326215668"/>
      <w:bookmarkStart w:id="51" w:name="_Toc458439242"/>
      <w:r w:rsidRPr="00905348">
        <w:rPr>
          <w:sz w:val="28"/>
        </w:rPr>
        <w:t>1.4.4 Assumptions and Calculations from other sources—Base and Measure Cases</w:t>
      </w:r>
      <w:bookmarkEnd w:id="49"/>
      <w:bookmarkEnd w:id="50"/>
      <w:bookmarkEnd w:id="51"/>
    </w:p>
    <w:p w:rsidR="00061E70" w:rsidRDefault="00061E70" w:rsidP="00061E70">
      <w:r>
        <w:t>This Work Paper uses ASTM Standard Test Method for the</w:t>
      </w:r>
      <w:r>
        <w:rPr>
          <w:rFonts w:ascii="Arial" w:hAnsi="Arial" w:cs="Arial"/>
          <w:i/>
          <w:iCs/>
        </w:rPr>
        <w:t xml:space="preserve"> </w:t>
      </w:r>
      <w:r>
        <w:t>Performance of Convection Ovens (F1496) for calculation of energy use and demand, based on testing in an approved and qualified laboratory. In the absence of mandatory regulations for testing commercial ovens, there is little incentive on the part of equipment manufacturers to have their baseline equipment tested. Therefore, the ASTM performance parameters for baseline equipment were drawn from a sample of economy grade equipment tested by the Food Service Technology Center</w:t>
      </w:r>
      <w:r w:rsidR="007875E8">
        <w:t>.</w:t>
      </w:r>
      <w:r>
        <w:t xml:space="preserve"> </w:t>
      </w:r>
    </w:p>
    <w:p w:rsidR="00061E70" w:rsidRDefault="00061E70" w:rsidP="00061E70">
      <w:pPr>
        <w:pStyle w:val="Table"/>
      </w:pPr>
    </w:p>
    <w:p w:rsidR="000C1666" w:rsidRPr="00CC0D00" w:rsidRDefault="00CC0D00" w:rsidP="009B5429">
      <w:pPr>
        <w:pStyle w:val="Caption"/>
        <w:keepNext/>
        <w:jc w:val="center"/>
        <w:rPr>
          <w:sz w:val="24"/>
          <w:szCs w:val="24"/>
          <w:lang w:val="en-US"/>
        </w:rPr>
      </w:pPr>
      <w:bookmarkStart w:id="52" w:name="_Toc458439260"/>
      <w:r w:rsidRPr="00CC0D00">
        <w:rPr>
          <w:sz w:val="24"/>
          <w:szCs w:val="24"/>
        </w:rPr>
        <w:t>Table</w:t>
      </w:r>
      <w:r w:rsidRPr="00CC0D00">
        <w:rPr>
          <w:sz w:val="24"/>
          <w:szCs w:val="24"/>
          <w:lang w:val="en-US"/>
        </w:rPr>
        <w:t>-</w:t>
      </w:r>
      <w:r w:rsidR="000C1666" w:rsidRPr="00CC0D00">
        <w:rPr>
          <w:sz w:val="24"/>
          <w:szCs w:val="24"/>
        </w:rPr>
        <w:fldChar w:fldCharType="begin"/>
      </w:r>
      <w:r w:rsidR="000C1666" w:rsidRPr="00CC0D00">
        <w:rPr>
          <w:sz w:val="24"/>
          <w:szCs w:val="24"/>
        </w:rPr>
        <w:instrText xml:space="preserve"> SEQ Table \* ARABIC </w:instrText>
      </w:r>
      <w:r w:rsidR="000C1666" w:rsidRPr="00CC0D00">
        <w:rPr>
          <w:sz w:val="24"/>
          <w:szCs w:val="24"/>
        </w:rPr>
        <w:fldChar w:fldCharType="separate"/>
      </w:r>
      <w:r w:rsidR="0078112D">
        <w:rPr>
          <w:noProof/>
          <w:sz w:val="24"/>
          <w:szCs w:val="24"/>
        </w:rPr>
        <w:t>6</w:t>
      </w:r>
      <w:r w:rsidR="000C1666" w:rsidRPr="00CC0D00">
        <w:rPr>
          <w:sz w:val="24"/>
          <w:szCs w:val="24"/>
        </w:rPr>
        <w:fldChar w:fldCharType="end"/>
      </w:r>
      <w:r w:rsidR="00380609">
        <w:rPr>
          <w:sz w:val="24"/>
          <w:szCs w:val="24"/>
          <w:lang w:val="en-US"/>
        </w:rPr>
        <w:t xml:space="preserve">: </w:t>
      </w:r>
      <w:r w:rsidR="000C1666" w:rsidRPr="00CC0D00">
        <w:rPr>
          <w:sz w:val="24"/>
          <w:szCs w:val="24"/>
        </w:rPr>
        <w:t>Baseline ASTM Test Results for Commercial Convection Ovens</w:t>
      </w:r>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5"/>
        <w:gridCol w:w="2061"/>
        <w:gridCol w:w="3281"/>
        <w:gridCol w:w="2509"/>
      </w:tblGrid>
      <w:tr w:rsidR="00061E70" w:rsidTr="001C4039">
        <w:trPr>
          <w:trHeight w:val="432"/>
        </w:trPr>
        <w:tc>
          <w:tcPr>
            <w:tcW w:w="901"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Convection Oven Type</w:t>
            </w:r>
          </w:p>
        </w:tc>
        <w:tc>
          <w:tcPr>
            <w:tcW w:w="1076"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Idle Energy Rate</w:t>
            </w:r>
          </w:p>
        </w:tc>
        <w:tc>
          <w:tcPr>
            <w:tcW w:w="1713"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Cooking-Energy Efficiency*</w:t>
            </w:r>
          </w:p>
        </w:tc>
        <w:tc>
          <w:tcPr>
            <w:tcW w:w="1310"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Production Capacity*</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Electric Half-Size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1,500 W</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65%</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45 lb/h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Electric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2,000 W</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65%</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70 lb/h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Electric Large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2,500 W</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65%</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100 lb/h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Gas Half-Size </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12,000 Btu/h</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30%</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45 lb/h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Gas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18,000 Btu/h</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30%</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70 lb/h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Gas Large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21,000 Btu/h</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30%</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100 lb/h</w:t>
            </w:r>
          </w:p>
        </w:tc>
      </w:tr>
    </w:tbl>
    <w:p w:rsidR="00061E70" w:rsidRPr="002973DF" w:rsidRDefault="00061E70" w:rsidP="00061E70">
      <w:pPr>
        <w:pStyle w:val="BodyText"/>
        <w:rPr>
          <w:szCs w:val="24"/>
          <w:lang w:val="en-US"/>
        </w:rPr>
      </w:pPr>
      <w:r>
        <w:rPr>
          <w:szCs w:val="24"/>
        </w:rPr>
        <w:t>*Based on the Heavy-load potato test in ASTM F1496</w:t>
      </w:r>
      <w:r w:rsidR="00875E5A" w:rsidRPr="00875E5A">
        <w:rPr>
          <w:szCs w:val="24"/>
          <w:vertAlign w:val="superscript"/>
        </w:rPr>
        <w:fldChar w:fldCharType="begin"/>
      </w:r>
      <w:r w:rsidR="00875E5A" w:rsidRPr="00875E5A">
        <w:rPr>
          <w:szCs w:val="24"/>
          <w:vertAlign w:val="superscript"/>
        </w:rPr>
        <w:instrText xml:space="preserve"> NOTEREF _Ref458160579 \h </w:instrText>
      </w:r>
      <w:r w:rsidR="00875E5A">
        <w:rPr>
          <w:szCs w:val="24"/>
          <w:vertAlign w:val="superscript"/>
        </w:rPr>
        <w:instrText xml:space="preserve"> \* MERGEFORMAT </w:instrText>
      </w:r>
      <w:r w:rsidR="00875E5A" w:rsidRPr="00875E5A">
        <w:rPr>
          <w:szCs w:val="24"/>
          <w:vertAlign w:val="superscript"/>
        </w:rPr>
      </w:r>
      <w:r w:rsidR="00875E5A" w:rsidRPr="00875E5A">
        <w:rPr>
          <w:szCs w:val="24"/>
          <w:vertAlign w:val="superscript"/>
        </w:rPr>
        <w:fldChar w:fldCharType="separate"/>
      </w:r>
      <w:r w:rsidR="00875E5A" w:rsidRPr="00875E5A">
        <w:rPr>
          <w:szCs w:val="24"/>
          <w:vertAlign w:val="superscript"/>
        </w:rPr>
        <w:t>1</w:t>
      </w:r>
      <w:r w:rsidR="00875E5A" w:rsidRPr="00875E5A">
        <w:rPr>
          <w:szCs w:val="24"/>
          <w:vertAlign w:val="superscript"/>
        </w:rPr>
        <w:fldChar w:fldCharType="end"/>
      </w:r>
      <w:r>
        <w:rPr>
          <w:szCs w:val="24"/>
        </w:rPr>
        <w:t>.</w:t>
      </w:r>
    </w:p>
    <w:p w:rsidR="00061E70" w:rsidRDefault="00061E70" w:rsidP="00061E70"/>
    <w:p w:rsidR="00061E70" w:rsidRDefault="00061E70" w:rsidP="00061E70">
      <w:r>
        <w:t xml:space="preserve">The measure case data was drawn from the list of commercial convection ovens that have been tested by The PG&amp;E Food Service Technology Center in San Ramon, the Southern California Gas Company Foodservice Equipment Center in Downey and the Southern California Edison Foodservice Technology Center in Irwindale. </w:t>
      </w:r>
    </w:p>
    <w:p w:rsidR="00CB019E" w:rsidRDefault="00CB019E" w:rsidP="00CB019E">
      <w:pPr>
        <w:pStyle w:val="Caption"/>
        <w:keepNext/>
        <w:rPr>
          <w:lang w:val="en-US"/>
        </w:rPr>
      </w:pPr>
    </w:p>
    <w:p w:rsidR="0074133D" w:rsidRDefault="0074133D" w:rsidP="0074133D">
      <w:pPr>
        <w:rPr>
          <w:lang w:eastAsia="x-none"/>
        </w:rPr>
      </w:pPr>
    </w:p>
    <w:p w:rsidR="0074133D" w:rsidRDefault="0074133D" w:rsidP="0074133D">
      <w:pPr>
        <w:rPr>
          <w:lang w:eastAsia="x-none"/>
        </w:rPr>
      </w:pPr>
    </w:p>
    <w:p w:rsidR="0074133D" w:rsidRDefault="0074133D" w:rsidP="0074133D">
      <w:pPr>
        <w:rPr>
          <w:lang w:eastAsia="x-none"/>
        </w:rPr>
      </w:pPr>
    </w:p>
    <w:p w:rsidR="0074133D" w:rsidRDefault="0074133D" w:rsidP="0074133D">
      <w:pPr>
        <w:rPr>
          <w:lang w:eastAsia="x-none"/>
        </w:rPr>
      </w:pPr>
    </w:p>
    <w:p w:rsidR="00B9071E" w:rsidRDefault="00B9071E" w:rsidP="0074133D">
      <w:pPr>
        <w:rPr>
          <w:lang w:eastAsia="x-none"/>
        </w:rPr>
      </w:pPr>
    </w:p>
    <w:p w:rsidR="00265A23" w:rsidRDefault="00265A23" w:rsidP="0074133D">
      <w:pPr>
        <w:rPr>
          <w:lang w:eastAsia="x-none"/>
        </w:rPr>
      </w:pPr>
    </w:p>
    <w:p w:rsidR="0074133D" w:rsidRPr="0074133D" w:rsidRDefault="0074133D" w:rsidP="0074133D">
      <w:pPr>
        <w:rPr>
          <w:lang w:eastAsia="x-none"/>
        </w:rPr>
      </w:pPr>
    </w:p>
    <w:p w:rsidR="00CB019E" w:rsidRPr="00CC0D00" w:rsidRDefault="00CC0D00" w:rsidP="009B5429">
      <w:pPr>
        <w:pStyle w:val="Caption"/>
        <w:keepNext/>
        <w:jc w:val="center"/>
        <w:rPr>
          <w:sz w:val="24"/>
          <w:szCs w:val="24"/>
          <w:lang w:val="en-US"/>
        </w:rPr>
      </w:pPr>
      <w:bookmarkStart w:id="53" w:name="_Toc458439261"/>
      <w:r w:rsidRPr="00CC0D00">
        <w:rPr>
          <w:sz w:val="24"/>
          <w:szCs w:val="24"/>
        </w:rPr>
        <w:lastRenderedPageBreak/>
        <w:t>Table</w:t>
      </w:r>
      <w:r w:rsidRPr="00CC0D00">
        <w:rPr>
          <w:sz w:val="24"/>
          <w:szCs w:val="24"/>
          <w:lang w:val="en-US"/>
        </w:rPr>
        <w:t>-</w:t>
      </w:r>
      <w:r w:rsidR="00CB019E" w:rsidRPr="00CC0D00">
        <w:rPr>
          <w:sz w:val="24"/>
          <w:szCs w:val="24"/>
        </w:rPr>
        <w:fldChar w:fldCharType="begin"/>
      </w:r>
      <w:r w:rsidR="00CB019E" w:rsidRPr="00CC0D00">
        <w:rPr>
          <w:sz w:val="24"/>
          <w:szCs w:val="24"/>
        </w:rPr>
        <w:instrText xml:space="preserve"> SEQ Table \* ARABIC </w:instrText>
      </w:r>
      <w:r w:rsidR="00CB019E" w:rsidRPr="00CC0D00">
        <w:rPr>
          <w:sz w:val="24"/>
          <w:szCs w:val="24"/>
        </w:rPr>
        <w:fldChar w:fldCharType="separate"/>
      </w:r>
      <w:r w:rsidR="0078112D">
        <w:rPr>
          <w:noProof/>
          <w:sz w:val="24"/>
          <w:szCs w:val="24"/>
        </w:rPr>
        <w:t>7</w:t>
      </w:r>
      <w:r w:rsidR="00CB019E" w:rsidRPr="00CC0D00">
        <w:rPr>
          <w:sz w:val="24"/>
          <w:szCs w:val="24"/>
        </w:rPr>
        <w:fldChar w:fldCharType="end"/>
      </w:r>
      <w:r w:rsidR="00380609">
        <w:rPr>
          <w:sz w:val="24"/>
          <w:szCs w:val="24"/>
          <w:lang w:val="en-US"/>
        </w:rPr>
        <w:t xml:space="preserve">: </w:t>
      </w:r>
      <w:r w:rsidR="00CB019E" w:rsidRPr="00CC0D00">
        <w:rPr>
          <w:sz w:val="24"/>
          <w:szCs w:val="24"/>
        </w:rPr>
        <w:t>Measure Case ASTM Test Results for Commercial Convection Ovens</w:t>
      </w:r>
      <w:bookmarkEnd w:id="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5"/>
        <w:gridCol w:w="2061"/>
        <w:gridCol w:w="3281"/>
        <w:gridCol w:w="2509"/>
      </w:tblGrid>
      <w:tr w:rsidR="00061E70" w:rsidTr="001C4039">
        <w:trPr>
          <w:trHeight w:val="432"/>
        </w:trPr>
        <w:tc>
          <w:tcPr>
            <w:tcW w:w="901"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Convection Oven Type</w:t>
            </w:r>
          </w:p>
        </w:tc>
        <w:tc>
          <w:tcPr>
            <w:tcW w:w="1076"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Idle Energy Rate</w:t>
            </w:r>
          </w:p>
        </w:tc>
        <w:tc>
          <w:tcPr>
            <w:tcW w:w="1713"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Cooking-Energy Efficiency*</w:t>
            </w:r>
          </w:p>
        </w:tc>
        <w:tc>
          <w:tcPr>
            <w:tcW w:w="1310" w:type="pct"/>
            <w:vAlign w:val="center"/>
          </w:tcPr>
          <w:p w:rsidR="00061E70" w:rsidRDefault="00061E70" w:rsidP="001C4039">
            <w:pPr>
              <w:jc w:val="center"/>
              <w:rPr>
                <w:rFonts w:ascii="Arial" w:hAnsi="Arial" w:cs="Arial"/>
                <w:b/>
                <w:bCs/>
                <w:color w:val="000000"/>
                <w:sz w:val="20"/>
                <w:szCs w:val="20"/>
              </w:rPr>
            </w:pPr>
            <w:r>
              <w:rPr>
                <w:rFonts w:ascii="Arial" w:hAnsi="Arial" w:cs="Arial"/>
                <w:b/>
                <w:bCs/>
                <w:color w:val="000000"/>
                <w:sz w:val="20"/>
                <w:szCs w:val="20"/>
              </w:rPr>
              <w:t>Production Capacity*</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Electric Half-Size </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830 W</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73%</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52 lb/h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Electric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1,380 W</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74%</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85 lb/h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Electric Large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1,730 W</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76%</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137 lb/h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 xml:space="preserve">Gas Half-Size </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8,500 Btu/h</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53%</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47 lb/h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Gas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10,339 Btu/h</w:t>
            </w:r>
          </w:p>
        </w:tc>
        <w:tc>
          <w:tcPr>
            <w:tcW w:w="1713"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49%</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88 lb/h</w:t>
            </w:r>
          </w:p>
        </w:tc>
      </w:tr>
      <w:tr w:rsidR="00061E70" w:rsidTr="001C4039">
        <w:trPr>
          <w:trHeight w:val="288"/>
        </w:trPr>
        <w:tc>
          <w:tcPr>
            <w:tcW w:w="901"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Gas Large Full-Size</w:t>
            </w:r>
          </w:p>
        </w:tc>
        <w:tc>
          <w:tcPr>
            <w:tcW w:w="1076"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&lt;13,000Btu/h</w:t>
            </w:r>
          </w:p>
        </w:tc>
        <w:tc>
          <w:tcPr>
            <w:tcW w:w="1713" w:type="pct"/>
            <w:vAlign w:val="center"/>
          </w:tcPr>
          <w:p w:rsidR="00061E70" w:rsidRDefault="00061E70" w:rsidP="001C4039">
            <w:pPr>
              <w:spacing w:line="360" w:lineRule="auto"/>
              <w:jc w:val="center"/>
              <w:rPr>
                <w:rFonts w:ascii="Arial" w:hAnsi="Arial" w:cs="Arial"/>
                <w:color w:val="000000"/>
                <w:sz w:val="20"/>
                <w:szCs w:val="20"/>
              </w:rPr>
            </w:pPr>
            <w:r>
              <w:rPr>
                <w:rFonts w:ascii="Arial" w:hAnsi="Arial" w:cs="Arial"/>
                <w:color w:val="000000"/>
                <w:sz w:val="20"/>
                <w:szCs w:val="20"/>
              </w:rPr>
              <w:t>46%</w:t>
            </w:r>
          </w:p>
        </w:tc>
        <w:tc>
          <w:tcPr>
            <w:tcW w:w="1310" w:type="pct"/>
            <w:vAlign w:val="center"/>
          </w:tcPr>
          <w:p w:rsidR="00061E70" w:rsidRDefault="00061E70" w:rsidP="001C4039">
            <w:pPr>
              <w:jc w:val="center"/>
              <w:rPr>
                <w:rFonts w:ascii="Arial" w:hAnsi="Arial" w:cs="Arial"/>
                <w:color w:val="000000"/>
                <w:sz w:val="20"/>
                <w:szCs w:val="20"/>
              </w:rPr>
            </w:pPr>
            <w:r>
              <w:rPr>
                <w:rFonts w:ascii="Arial" w:hAnsi="Arial" w:cs="Arial"/>
                <w:color w:val="000000"/>
                <w:sz w:val="20"/>
                <w:szCs w:val="20"/>
              </w:rPr>
              <w:t>100 lb/h</w:t>
            </w:r>
          </w:p>
        </w:tc>
      </w:tr>
    </w:tbl>
    <w:p w:rsidR="00061E70" w:rsidRDefault="00061E70" w:rsidP="00061E70">
      <w:pPr>
        <w:pStyle w:val="BodyText"/>
        <w:rPr>
          <w:szCs w:val="24"/>
        </w:rPr>
      </w:pPr>
      <w:r>
        <w:rPr>
          <w:szCs w:val="24"/>
        </w:rPr>
        <w:t>*Based on the Heavy-load potato test in ASTM F1496.</w:t>
      </w:r>
      <w:r w:rsidR="00875E5A" w:rsidRPr="00875E5A">
        <w:rPr>
          <w:szCs w:val="24"/>
          <w:vertAlign w:val="superscript"/>
        </w:rPr>
        <w:fldChar w:fldCharType="begin"/>
      </w:r>
      <w:r w:rsidR="00875E5A" w:rsidRPr="00875E5A">
        <w:rPr>
          <w:szCs w:val="24"/>
          <w:vertAlign w:val="superscript"/>
        </w:rPr>
        <w:instrText xml:space="preserve"> NOTEREF _Ref458160579 \h  \* MERGEFORMAT </w:instrText>
      </w:r>
      <w:r w:rsidR="00875E5A" w:rsidRPr="00875E5A">
        <w:rPr>
          <w:szCs w:val="24"/>
          <w:vertAlign w:val="superscript"/>
        </w:rPr>
      </w:r>
      <w:r w:rsidR="00875E5A" w:rsidRPr="00875E5A">
        <w:rPr>
          <w:szCs w:val="24"/>
          <w:vertAlign w:val="superscript"/>
        </w:rPr>
        <w:fldChar w:fldCharType="separate"/>
      </w:r>
      <w:r w:rsidR="00875E5A" w:rsidRPr="00875E5A">
        <w:rPr>
          <w:szCs w:val="24"/>
          <w:vertAlign w:val="superscript"/>
        </w:rPr>
        <w:t>1</w:t>
      </w:r>
      <w:r w:rsidR="00875E5A" w:rsidRPr="00875E5A">
        <w:rPr>
          <w:szCs w:val="24"/>
          <w:vertAlign w:val="superscript"/>
        </w:rPr>
        <w:fldChar w:fldCharType="end"/>
      </w:r>
      <w:r w:rsidRPr="00875E5A">
        <w:rPr>
          <w:szCs w:val="24"/>
          <w:vertAlign w:val="superscript"/>
        </w:rPr>
        <w:t xml:space="preserve"> </w:t>
      </w:r>
    </w:p>
    <w:p w:rsidR="00061E70" w:rsidRDefault="00061E70" w:rsidP="00061E70"/>
    <w:p w:rsidR="00061E70" w:rsidRDefault="00061E70" w:rsidP="00061E70">
      <w:r>
        <w:t>The Food Service Technology Center conducted an assessment of major commercial cooking appliance technologies in 2002, which included a chapter on ovens.</w:t>
      </w:r>
      <w:r>
        <w:rPr>
          <w:rStyle w:val="EndnoteReference"/>
        </w:rPr>
        <w:endnoteReference w:id="7"/>
      </w:r>
      <w:r>
        <w:t xml:space="preserve"> </w:t>
      </w:r>
      <w:r>
        <w:rPr>
          <w:vertAlign w:val="superscript"/>
        </w:rPr>
        <w:t xml:space="preserve"> </w:t>
      </w:r>
      <w:r>
        <w:t xml:space="preserve">The study showed that oven efficiency varies from 10% to 80%, based on primary fuel source and oven type (convection, combination, conventional, etc.). A further Food Service Technology Center study included convection oven performance data, </w:t>
      </w:r>
      <w:r w:rsidRPr="007A2F2C">
        <w:t>which suggests a baseline efficiency of 65% for electric convection ovens and 30% gas conv</w:t>
      </w:r>
      <w:r>
        <w:t>ection ovens, respectively.</w:t>
      </w:r>
      <w:r>
        <w:rPr>
          <w:rStyle w:val="EndnoteReference"/>
        </w:rPr>
        <w:endnoteReference w:id="8"/>
      </w:r>
      <w:r>
        <w:t xml:space="preserve"> </w:t>
      </w:r>
    </w:p>
    <w:p w:rsidR="00061E70" w:rsidRDefault="00061E70" w:rsidP="00061E70"/>
    <w:p w:rsidR="00061E70" w:rsidRDefault="00061E70" w:rsidP="00061E70">
      <w:r>
        <w:t>Since the current Title 20 regulations do not include a minimum performance requirement for convection ovens, the base case for existing models of electric convection ovens was determined from Table 3-2 in the Food Service Technology Center study.</w:t>
      </w:r>
      <w:r>
        <w:fldChar w:fldCharType="begin"/>
      </w:r>
      <w:r>
        <w:instrText xml:space="preserve"> NOTEREF _Ref299610479 \f \h </w:instrText>
      </w:r>
      <w:r>
        <w:fldChar w:fldCharType="separate"/>
      </w:r>
      <w:r w:rsidR="00925D31" w:rsidRPr="00925D31">
        <w:rPr>
          <w:rStyle w:val="EndnoteReference"/>
        </w:rPr>
        <w:t>3</w:t>
      </w:r>
      <w:r>
        <w:fldChar w:fldCharType="end"/>
      </w:r>
      <w:r>
        <w:t xml:space="preserve"> </w:t>
      </w:r>
    </w:p>
    <w:p w:rsidR="00AC4B6F" w:rsidRPr="004162E3" w:rsidRDefault="00AC4B6F" w:rsidP="00AC4B6F">
      <w:pPr>
        <w:rPr>
          <w:rFonts w:cs="Arial"/>
          <w:b/>
          <w:sz w:val="20"/>
          <w:szCs w:val="20"/>
        </w:rPr>
      </w:pPr>
    </w:p>
    <w:p w:rsidR="00D9693F" w:rsidRDefault="00865BA5" w:rsidP="00D9693F">
      <w:pPr>
        <w:pStyle w:val="Heading4"/>
      </w:pPr>
      <w:bookmarkStart w:id="54" w:name="_Toc385861592"/>
      <w:r w:rsidRPr="007C7B83">
        <w:t>Hours of Operation</w:t>
      </w:r>
      <w:bookmarkStart w:id="55" w:name="_Toc385861593"/>
      <w:bookmarkEnd w:id="54"/>
    </w:p>
    <w:p w:rsidR="00865BA5" w:rsidRDefault="00865BA5" w:rsidP="00546A34">
      <w:r w:rsidRPr="007C7B83">
        <w:t>This measure would follow the hours of operation for quick serve and full serve restaurants as noted in the ASTM standards.  For this measure annual hours of operation are considered 4380.</w:t>
      </w:r>
      <w:bookmarkEnd w:id="55"/>
      <w:r>
        <w:t xml:space="preserve">  Annual hours of operation were based on market based research in collaboration with the California Energy Commission found in Appendix E: </w:t>
      </w:r>
      <w:hyperlink r:id="rId17" w:history="1">
        <w:r w:rsidRPr="00FC2B3E">
          <w:rPr>
            <w:rStyle w:val="Hyperlink"/>
            <w:bCs/>
            <w:iCs/>
          </w:rPr>
          <w:t>http://www.energy.ca.gov/2014publications/CEC-500-2014-095/CEC-500-2014-095.pdf</w:t>
        </w:r>
      </w:hyperlink>
      <w:r>
        <w:t xml:space="preserve"> . </w:t>
      </w:r>
    </w:p>
    <w:p w:rsidR="001C4089" w:rsidRDefault="001C4089" w:rsidP="001C4089"/>
    <w:p w:rsidR="00343417" w:rsidRPr="00343417" w:rsidRDefault="00865BA5" w:rsidP="001C4089">
      <w:r w:rsidRPr="007C7B83">
        <w:t>12 hrs /day * 365 day/ yr = 4380 hrs</w:t>
      </w:r>
    </w:p>
    <w:p w:rsidR="00AC4B6F" w:rsidRPr="00601BD4" w:rsidRDefault="00AC4B6F" w:rsidP="00AC4B6F"/>
    <w:p w:rsidR="00AC4B6F" w:rsidRPr="00601BD4" w:rsidRDefault="00AC4B6F" w:rsidP="00AC4B6F">
      <w:r w:rsidRPr="00601BD4">
        <w:t>Effective Useful Life: EUL values were downloaded and used directly from DEER</w:t>
      </w:r>
    </w:p>
    <w:p w:rsidR="00AC4B6F" w:rsidRPr="00601BD4" w:rsidRDefault="00AC4B6F" w:rsidP="00AC4B6F"/>
    <w:p w:rsidR="00AC4B6F" w:rsidRPr="00601BD4" w:rsidRDefault="00AC4B6F" w:rsidP="00AC4B6F">
      <w:r w:rsidRPr="00601BD4">
        <w:t xml:space="preserve"> </w:t>
      </w:r>
      <w:r w:rsidR="00E615BF" w:rsidRPr="00601BD4">
        <w:t>DEER2016</w:t>
      </w:r>
      <w:r w:rsidRPr="00601BD4">
        <w:t xml:space="preserve"> database shows a EUL of 12 years and an RUL of 4 years6 for all cooking appliance measures, including electric and gas </w:t>
      </w:r>
      <w:r w:rsidR="00831FA2" w:rsidRPr="00601BD4">
        <w:t>convection ovens</w:t>
      </w:r>
      <w:r w:rsidRPr="00601BD4">
        <w:t xml:space="preserve">. </w:t>
      </w:r>
    </w:p>
    <w:p w:rsidR="00AC4B6F" w:rsidRPr="00601BD4" w:rsidRDefault="00AC4B6F" w:rsidP="00AC4B6F"/>
    <w:p w:rsidR="00AC4B6F" w:rsidRPr="00601BD4" w:rsidRDefault="00AC4B6F" w:rsidP="00AC4B6F">
      <w:r w:rsidRPr="00601BD4">
        <w:t>Net-to-Gross Assumption: NTG values were downloaded and used directly from DEER.</w:t>
      </w:r>
    </w:p>
    <w:p w:rsidR="00AC4B6F" w:rsidRDefault="00AC4B6F" w:rsidP="00AC4B6F">
      <w:pPr>
        <w:rPr>
          <w:rFonts w:cs="Arial"/>
          <w:i/>
          <w:sz w:val="20"/>
          <w:szCs w:val="20"/>
        </w:rPr>
      </w:pPr>
      <w:r w:rsidRPr="00601BD4">
        <w:t>In-service rate/first year installation rate: ISR is assumed to be 1 based on engineering expertise.</w:t>
      </w:r>
    </w:p>
    <w:p w:rsidR="004030D1" w:rsidRDefault="004030D1" w:rsidP="0070040E">
      <w:pPr>
        <w:pStyle w:val="Heading3"/>
        <w:rPr>
          <w:sz w:val="24"/>
          <w:szCs w:val="24"/>
        </w:rPr>
      </w:pPr>
      <w:bookmarkStart w:id="56" w:name="_Toc458439243"/>
      <w:r w:rsidRPr="0070040E">
        <w:rPr>
          <w:sz w:val="28"/>
        </w:rPr>
        <w:t>1.4.5 Time of use Adjustment Factor</w:t>
      </w:r>
      <w:bookmarkEnd w:id="56"/>
    </w:p>
    <w:p w:rsidR="004030D1" w:rsidRDefault="004030D1" w:rsidP="004030D1">
      <w:r>
        <w:t>The TOU adjustment factor for all non A/C measures is 0.</w:t>
      </w:r>
    </w:p>
    <w:p w:rsidR="004030D1" w:rsidRDefault="004030D1" w:rsidP="004030D1">
      <w:pPr>
        <w:rPr>
          <w:b/>
        </w:rPr>
      </w:pPr>
    </w:p>
    <w:p w:rsidR="005B57BE" w:rsidRDefault="005B57BE" w:rsidP="00F578B9">
      <w:pPr>
        <w:pStyle w:val="Heading1"/>
        <w:keepNext w:val="0"/>
        <w:rPr>
          <w:lang w:val="en-US"/>
        </w:rPr>
      </w:pPr>
    </w:p>
    <w:p w:rsidR="00F578B9" w:rsidRDefault="00F578B9" w:rsidP="00F578B9">
      <w:pPr>
        <w:pStyle w:val="Heading1"/>
        <w:keepNext w:val="0"/>
        <w:rPr>
          <w:lang w:val="en-US"/>
        </w:rPr>
      </w:pPr>
      <w:bookmarkStart w:id="57" w:name="_Toc458439244"/>
      <w:r>
        <w:lastRenderedPageBreak/>
        <w:t>Section 2. Calculation Methods</w:t>
      </w:r>
      <w:bookmarkEnd w:id="57"/>
    </w:p>
    <w:p w:rsidR="0078112D" w:rsidRDefault="0078112D" w:rsidP="00A13C6E">
      <w:pPr>
        <w:rPr>
          <w:b/>
          <w:u w:val="single"/>
        </w:rPr>
      </w:pPr>
      <w:r w:rsidRPr="0078112D">
        <w:rPr>
          <w:b/>
          <w:u w:val="single"/>
        </w:rPr>
        <w:t xml:space="preserve">The UES </w:t>
      </w:r>
      <w:r w:rsidR="00CB5B07">
        <w:rPr>
          <w:b/>
          <w:u w:val="single"/>
        </w:rPr>
        <w:t xml:space="preserve">(Unit Energy Savings) </w:t>
      </w:r>
      <w:r w:rsidRPr="0078112D">
        <w:rPr>
          <w:b/>
          <w:u w:val="single"/>
        </w:rPr>
        <w:t>savings are adjusted based on Decision 11-07-030, and comments in Attachment A, which stated “Energy Division believes that operating hours, food production rates and baseline efficiencies contribute to overly optimistic UES calculations and recommend a 30% reduction in UES values”. Therefore the final claimable UES numbers are adjusted down 30% and shown in table below.</w:t>
      </w:r>
    </w:p>
    <w:p w:rsidR="00A13C6E" w:rsidRDefault="00A13C6E" w:rsidP="00A13C6E">
      <w:pPr>
        <w:rPr>
          <w:b/>
          <w:u w:val="single"/>
        </w:rPr>
      </w:pPr>
    </w:p>
    <w:p w:rsidR="004A2CA0" w:rsidRDefault="004A2CA0" w:rsidP="006033CB">
      <w:pPr>
        <w:pStyle w:val="Caption"/>
        <w:keepNext/>
        <w:rPr>
          <w:bCs w:val="0"/>
          <w:sz w:val="24"/>
          <w:szCs w:val="24"/>
          <w:u w:val="single"/>
          <w:lang w:val="en-US" w:eastAsia="en-US"/>
        </w:rPr>
      </w:pPr>
    </w:p>
    <w:p w:rsidR="0078112D" w:rsidRPr="0078112D" w:rsidRDefault="00513D64" w:rsidP="00513D64">
      <w:pPr>
        <w:pStyle w:val="Caption"/>
        <w:keepNext/>
        <w:rPr>
          <w:lang w:val="en-US"/>
        </w:rPr>
      </w:pPr>
      <w:r>
        <w:rPr>
          <w:sz w:val="24"/>
          <w:szCs w:val="24"/>
          <w:lang w:val="en-US"/>
        </w:rPr>
        <w:t xml:space="preserve">     </w:t>
      </w:r>
      <w:bookmarkStart w:id="58" w:name="_Toc458439262"/>
      <w:r w:rsidR="0078112D" w:rsidRPr="0078112D">
        <w:rPr>
          <w:sz w:val="24"/>
          <w:szCs w:val="24"/>
        </w:rPr>
        <w:t xml:space="preserve">Table </w:t>
      </w:r>
      <w:r w:rsidR="0078112D" w:rsidRPr="0078112D">
        <w:rPr>
          <w:sz w:val="24"/>
          <w:szCs w:val="24"/>
        </w:rPr>
        <w:fldChar w:fldCharType="begin"/>
      </w:r>
      <w:r w:rsidR="0078112D" w:rsidRPr="0078112D">
        <w:rPr>
          <w:sz w:val="24"/>
          <w:szCs w:val="24"/>
        </w:rPr>
        <w:instrText xml:space="preserve"> SEQ Table \* ARABIC </w:instrText>
      </w:r>
      <w:r w:rsidR="0078112D" w:rsidRPr="0078112D">
        <w:rPr>
          <w:sz w:val="24"/>
          <w:szCs w:val="24"/>
        </w:rPr>
        <w:fldChar w:fldCharType="separate"/>
      </w:r>
      <w:r w:rsidR="005B57BE">
        <w:rPr>
          <w:noProof/>
          <w:sz w:val="24"/>
          <w:szCs w:val="24"/>
        </w:rPr>
        <w:t>8</w:t>
      </w:r>
      <w:r w:rsidR="0078112D" w:rsidRPr="0078112D">
        <w:rPr>
          <w:sz w:val="24"/>
          <w:szCs w:val="24"/>
        </w:rPr>
        <w:fldChar w:fldCharType="end"/>
      </w:r>
      <w:r w:rsidR="0078112D" w:rsidRPr="0078112D">
        <w:rPr>
          <w:sz w:val="24"/>
          <w:szCs w:val="24"/>
        </w:rPr>
        <w:t xml:space="preserve">: </w:t>
      </w:r>
      <w:r w:rsidR="0078112D">
        <w:rPr>
          <w:sz w:val="24"/>
          <w:szCs w:val="24"/>
          <w:lang w:val="en-US"/>
        </w:rPr>
        <w:t>Final claimable savings</w:t>
      </w:r>
      <w:bookmarkEnd w:id="58"/>
    </w:p>
    <w:tbl>
      <w:tblPr>
        <w:tblW w:w="44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9"/>
        <w:gridCol w:w="2341"/>
        <w:gridCol w:w="2159"/>
      </w:tblGrid>
      <w:tr w:rsidR="0078112D" w:rsidTr="00513D64">
        <w:trPr>
          <w:trHeight w:val="432"/>
          <w:jc w:val="center"/>
        </w:trPr>
        <w:tc>
          <w:tcPr>
            <w:tcW w:w="2374"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rPr>
                <w:rFonts w:ascii="Arial" w:hAnsi="Arial" w:cs="Arial"/>
                <w:b/>
                <w:bCs/>
              </w:rPr>
            </w:pPr>
            <w:r>
              <w:rPr>
                <w:rFonts w:ascii="Arial" w:hAnsi="Arial" w:cs="Arial"/>
                <w:b/>
                <w:bCs/>
              </w:rPr>
              <w:t>Performance</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jc w:val="center"/>
              <w:rPr>
                <w:rFonts w:ascii="Arial" w:hAnsi="Arial" w:cs="Arial"/>
                <w:b/>
                <w:bCs/>
              </w:rPr>
            </w:pPr>
            <w:r>
              <w:rPr>
                <w:rFonts w:ascii="Arial" w:hAnsi="Arial" w:cs="Arial"/>
                <w:b/>
                <w:bCs/>
              </w:rPr>
              <w:t>Estimated savings</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jc w:val="center"/>
              <w:rPr>
                <w:rFonts w:ascii="Arial" w:hAnsi="Arial" w:cs="Arial"/>
                <w:b/>
                <w:bCs/>
              </w:rPr>
            </w:pPr>
            <w:r>
              <w:rPr>
                <w:rFonts w:ascii="Arial" w:hAnsi="Arial" w:cs="Arial"/>
                <w:b/>
                <w:bCs/>
              </w:rPr>
              <w:t>Claimable savings after 30% reduction</w:t>
            </w:r>
          </w:p>
        </w:tc>
      </w:tr>
      <w:tr w:rsidR="0078112D" w:rsidTr="00513D64">
        <w:trPr>
          <w:trHeight w:hRule="exact" w:val="757"/>
          <w:jc w:val="center"/>
        </w:trPr>
        <w:tc>
          <w:tcPr>
            <w:tcW w:w="2374"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rPr>
                <w:rFonts w:ascii="Arial" w:hAnsi="Arial" w:cs="Arial"/>
                <w:sz w:val="20"/>
                <w:szCs w:val="20"/>
              </w:rPr>
            </w:pPr>
            <w:r>
              <w:rPr>
                <w:sz w:val="20"/>
                <w:szCs w:val="20"/>
              </w:rPr>
              <w:t>Commercial Half-Size Convection Oven (Electric)</w:t>
            </w:r>
            <w:r w:rsidR="00CB5B07">
              <w:rPr>
                <w:sz w:val="20"/>
                <w:szCs w:val="20"/>
              </w:rPr>
              <w:t xml:space="preserve"> </w:t>
            </w:r>
            <w:r>
              <w:rPr>
                <w:sz w:val="20"/>
                <w:szCs w:val="20"/>
              </w:rPr>
              <w:t xml:space="preserve">- </w:t>
            </w:r>
            <w:r w:rsidR="00132F42">
              <w:rPr>
                <w:sz w:val="20"/>
                <w:szCs w:val="20"/>
              </w:rPr>
              <w:t xml:space="preserve">Annual </w:t>
            </w:r>
            <w:r>
              <w:rPr>
                <w:sz w:val="20"/>
                <w:szCs w:val="20"/>
              </w:rPr>
              <w:t>kWh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B22CF">
              <w:rPr>
                <w:rFonts w:ascii="Arial" w:hAnsi="Arial" w:cs="Arial"/>
                <w:b/>
                <w:sz w:val="20"/>
                <w:szCs w:val="20"/>
              </w:rPr>
              <w:t>2,</w:t>
            </w:r>
            <w:r>
              <w:rPr>
                <w:rFonts w:ascii="Arial" w:hAnsi="Arial" w:cs="Arial"/>
                <w:b/>
                <w:sz w:val="20"/>
                <w:szCs w:val="20"/>
              </w:rPr>
              <w:t>485</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B22CF">
              <w:rPr>
                <w:rFonts w:ascii="Arial" w:hAnsi="Arial" w:cs="Arial"/>
                <w:b/>
                <w:sz w:val="20"/>
                <w:szCs w:val="20"/>
              </w:rPr>
              <w:t>2,</w:t>
            </w:r>
            <w:r>
              <w:rPr>
                <w:rFonts w:ascii="Arial" w:hAnsi="Arial" w:cs="Arial"/>
                <w:b/>
                <w:sz w:val="20"/>
                <w:szCs w:val="20"/>
              </w:rPr>
              <w:t>485*0.7=1740</w:t>
            </w:r>
          </w:p>
        </w:tc>
      </w:tr>
      <w:tr w:rsidR="0078112D" w:rsidTr="00513D64">
        <w:trPr>
          <w:trHeight w:hRule="exact" w:val="550"/>
          <w:jc w:val="center"/>
        </w:trPr>
        <w:tc>
          <w:tcPr>
            <w:tcW w:w="2374"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rPr>
                <w:rFonts w:ascii="Arial" w:hAnsi="Arial" w:cs="Arial"/>
                <w:sz w:val="20"/>
                <w:szCs w:val="20"/>
              </w:rPr>
            </w:pPr>
            <w:r>
              <w:rPr>
                <w:sz w:val="20"/>
                <w:szCs w:val="20"/>
              </w:rPr>
              <w:t>Commercial Full-Size Convection Oven (Electric)</w:t>
            </w:r>
            <w:r w:rsidR="00CB5B07">
              <w:rPr>
                <w:sz w:val="20"/>
                <w:szCs w:val="20"/>
              </w:rPr>
              <w:t xml:space="preserve"> </w:t>
            </w:r>
            <w:r>
              <w:rPr>
                <w:sz w:val="20"/>
                <w:szCs w:val="20"/>
              </w:rPr>
              <w:t xml:space="preserve">- </w:t>
            </w:r>
            <w:r w:rsidR="00CB5B07">
              <w:rPr>
                <w:sz w:val="20"/>
                <w:szCs w:val="20"/>
              </w:rPr>
              <w:t xml:space="preserve">Annual </w:t>
            </w:r>
            <w:r>
              <w:rPr>
                <w:sz w:val="20"/>
                <w:szCs w:val="20"/>
              </w:rPr>
              <w:t>kWh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B22CF">
              <w:rPr>
                <w:rFonts w:ascii="Arial" w:hAnsi="Arial" w:cs="Arial"/>
                <w:b/>
                <w:sz w:val="20"/>
                <w:szCs w:val="20"/>
              </w:rPr>
              <w:t>2,7</w:t>
            </w:r>
            <w:r>
              <w:rPr>
                <w:rFonts w:ascii="Arial" w:hAnsi="Arial" w:cs="Arial"/>
                <w:b/>
                <w:sz w:val="20"/>
                <w:szCs w:val="20"/>
              </w:rPr>
              <w:t>87</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B22CF">
              <w:rPr>
                <w:rFonts w:ascii="Arial" w:hAnsi="Arial" w:cs="Arial"/>
                <w:b/>
                <w:sz w:val="20"/>
                <w:szCs w:val="20"/>
              </w:rPr>
              <w:t>2,7</w:t>
            </w:r>
            <w:r>
              <w:rPr>
                <w:rFonts w:ascii="Arial" w:hAnsi="Arial" w:cs="Arial"/>
                <w:b/>
                <w:sz w:val="20"/>
                <w:szCs w:val="20"/>
              </w:rPr>
              <w:t>87*0.7=1951</w:t>
            </w:r>
          </w:p>
        </w:tc>
      </w:tr>
      <w:tr w:rsidR="0078112D" w:rsidTr="00513D64">
        <w:trPr>
          <w:trHeight w:hRule="exact" w:val="532"/>
          <w:jc w:val="center"/>
        </w:trPr>
        <w:tc>
          <w:tcPr>
            <w:tcW w:w="2374"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rPr>
                <w:rFonts w:ascii="Arial" w:hAnsi="Arial" w:cs="Arial"/>
                <w:sz w:val="20"/>
                <w:szCs w:val="20"/>
              </w:rPr>
            </w:pPr>
            <w:r>
              <w:rPr>
                <w:sz w:val="20"/>
                <w:szCs w:val="20"/>
              </w:rPr>
              <w:t>Commercial Large Full-Size Convection Oven (Electric)</w:t>
            </w:r>
            <w:r w:rsidR="00CB5B07">
              <w:rPr>
                <w:sz w:val="20"/>
                <w:szCs w:val="20"/>
              </w:rPr>
              <w:t xml:space="preserve"> </w:t>
            </w:r>
            <w:r>
              <w:rPr>
                <w:sz w:val="20"/>
                <w:szCs w:val="20"/>
              </w:rPr>
              <w:t xml:space="preserve">- </w:t>
            </w:r>
            <w:r w:rsidR="00CB5B07">
              <w:rPr>
                <w:sz w:val="20"/>
                <w:szCs w:val="20"/>
              </w:rPr>
              <w:t xml:space="preserve">Annual </w:t>
            </w:r>
            <w:r>
              <w:rPr>
                <w:sz w:val="20"/>
                <w:szCs w:val="20"/>
              </w:rPr>
              <w:t>kWh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941F0">
              <w:rPr>
                <w:rFonts w:ascii="Arial" w:hAnsi="Arial" w:cs="Arial"/>
                <w:b/>
                <w:sz w:val="20"/>
                <w:szCs w:val="20"/>
              </w:rPr>
              <w:t>3,613</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941F0">
              <w:rPr>
                <w:rFonts w:ascii="Arial" w:hAnsi="Arial" w:cs="Arial"/>
                <w:b/>
                <w:sz w:val="20"/>
                <w:szCs w:val="20"/>
              </w:rPr>
              <w:t>3,613</w:t>
            </w:r>
            <w:r>
              <w:rPr>
                <w:rFonts w:ascii="Arial" w:hAnsi="Arial" w:cs="Arial"/>
                <w:b/>
                <w:sz w:val="20"/>
                <w:szCs w:val="20"/>
              </w:rPr>
              <w:t>*0.7=2529</w:t>
            </w:r>
          </w:p>
        </w:tc>
      </w:tr>
      <w:tr w:rsidR="0078112D" w:rsidTr="00513D64">
        <w:trPr>
          <w:trHeight w:hRule="exact" w:val="550"/>
          <w:jc w:val="center"/>
        </w:trPr>
        <w:tc>
          <w:tcPr>
            <w:tcW w:w="2374"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rPr>
                <w:rFonts w:ascii="Arial" w:hAnsi="Arial" w:cs="Arial"/>
                <w:sz w:val="20"/>
                <w:szCs w:val="20"/>
              </w:rPr>
            </w:pPr>
            <w:r>
              <w:rPr>
                <w:sz w:val="20"/>
                <w:szCs w:val="20"/>
              </w:rPr>
              <w:t>Commercial Half-Size Convection Oven (Electric)</w:t>
            </w:r>
            <w:r w:rsidR="00CB5B07">
              <w:rPr>
                <w:sz w:val="20"/>
                <w:szCs w:val="20"/>
              </w:rPr>
              <w:t xml:space="preserve"> </w:t>
            </w:r>
            <w:r>
              <w:rPr>
                <w:sz w:val="20"/>
                <w:szCs w:val="20"/>
              </w:rPr>
              <w:t xml:space="preserve">- </w:t>
            </w:r>
            <w:r w:rsidR="00AD300D">
              <w:rPr>
                <w:sz w:val="20"/>
                <w:szCs w:val="20"/>
              </w:rPr>
              <w:t>Peak</w:t>
            </w:r>
            <w:r w:rsidR="00CB5B07">
              <w:rPr>
                <w:sz w:val="20"/>
                <w:szCs w:val="20"/>
              </w:rPr>
              <w:t xml:space="preserve"> </w:t>
            </w:r>
            <w:r>
              <w:rPr>
                <w:sz w:val="20"/>
                <w:szCs w:val="20"/>
              </w:rPr>
              <w:t>kW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Pr>
                <w:rFonts w:ascii="Arial" w:hAnsi="Arial" w:cs="Arial"/>
                <w:b/>
                <w:sz w:val="20"/>
                <w:szCs w:val="20"/>
              </w:rPr>
              <w:t>0.54</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Pr>
                <w:rFonts w:ascii="Arial" w:hAnsi="Arial" w:cs="Arial"/>
                <w:b/>
                <w:sz w:val="20"/>
                <w:szCs w:val="20"/>
              </w:rPr>
              <w:t>0.54*0.7=0.378</w:t>
            </w:r>
          </w:p>
        </w:tc>
      </w:tr>
      <w:tr w:rsidR="0078112D" w:rsidTr="00513D64">
        <w:trPr>
          <w:trHeight w:hRule="exact" w:val="532"/>
          <w:jc w:val="center"/>
        </w:trPr>
        <w:tc>
          <w:tcPr>
            <w:tcW w:w="2374" w:type="pct"/>
            <w:tcBorders>
              <w:top w:val="single" w:sz="4" w:space="0" w:color="auto"/>
              <w:left w:val="single" w:sz="4" w:space="0" w:color="auto"/>
              <w:bottom w:val="single" w:sz="4" w:space="0" w:color="auto"/>
              <w:right w:val="single" w:sz="4" w:space="0" w:color="auto"/>
            </w:tcBorders>
            <w:vAlign w:val="center"/>
          </w:tcPr>
          <w:p w:rsidR="0078112D" w:rsidRDefault="0078112D" w:rsidP="00AD300D">
            <w:pPr>
              <w:rPr>
                <w:rFonts w:ascii="Arial" w:hAnsi="Arial" w:cs="Arial"/>
                <w:sz w:val="20"/>
                <w:szCs w:val="20"/>
              </w:rPr>
            </w:pPr>
            <w:r>
              <w:rPr>
                <w:sz w:val="20"/>
                <w:szCs w:val="20"/>
              </w:rPr>
              <w:t>Commercial Full-Size Convection Oven (Electric)</w:t>
            </w:r>
            <w:r w:rsidR="00CB5B07">
              <w:rPr>
                <w:sz w:val="20"/>
                <w:szCs w:val="20"/>
              </w:rPr>
              <w:t xml:space="preserve"> </w:t>
            </w:r>
            <w:r>
              <w:rPr>
                <w:sz w:val="20"/>
                <w:szCs w:val="20"/>
              </w:rPr>
              <w:t xml:space="preserve">- </w:t>
            </w:r>
            <w:r w:rsidR="00AD300D">
              <w:rPr>
                <w:sz w:val="20"/>
                <w:szCs w:val="20"/>
              </w:rPr>
              <w:t>Peak</w:t>
            </w:r>
            <w:r w:rsidR="00CB5B07">
              <w:rPr>
                <w:sz w:val="20"/>
                <w:szCs w:val="20"/>
              </w:rPr>
              <w:t xml:space="preserve"> </w:t>
            </w:r>
            <w:r>
              <w:rPr>
                <w:sz w:val="20"/>
                <w:szCs w:val="20"/>
              </w:rPr>
              <w:t>kW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25359F">
              <w:rPr>
                <w:rFonts w:ascii="Arial" w:hAnsi="Arial" w:cs="Arial"/>
                <w:b/>
                <w:sz w:val="20"/>
                <w:szCs w:val="20"/>
              </w:rPr>
              <w:t>0.</w:t>
            </w:r>
            <w:r>
              <w:rPr>
                <w:rFonts w:ascii="Arial" w:hAnsi="Arial" w:cs="Arial"/>
                <w:b/>
                <w:sz w:val="20"/>
                <w:szCs w:val="20"/>
              </w:rPr>
              <w:t>63</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25359F">
              <w:rPr>
                <w:rFonts w:ascii="Arial" w:hAnsi="Arial" w:cs="Arial"/>
                <w:b/>
                <w:sz w:val="20"/>
                <w:szCs w:val="20"/>
              </w:rPr>
              <w:t>0.</w:t>
            </w:r>
            <w:r>
              <w:rPr>
                <w:rFonts w:ascii="Arial" w:hAnsi="Arial" w:cs="Arial"/>
                <w:b/>
                <w:sz w:val="20"/>
                <w:szCs w:val="20"/>
              </w:rPr>
              <w:t>63*0.7=0.441</w:t>
            </w:r>
          </w:p>
        </w:tc>
      </w:tr>
      <w:tr w:rsidR="0078112D" w:rsidTr="00513D64">
        <w:trPr>
          <w:trHeight w:hRule="exact" w:val="532"/>
          <w:jc w:val="center"/>
        </w:trPr>
        <w:tc>
          <w:tcPr>
            <w:tcW w:w="2374" w:type="pct"/>
            <w:tcBorders>
              <w:top w:val="single" w:sz="4" w:space="0" w:color="auto"/>
              <w:left w:val="single" w:sz="4" w:space="0" w:color="auto"/>
              <w:bottom w:val="single" w:sz="4" w:space="0" w:color="auto"/>
              <w:right w:val="single" w:sz="4" w:space="0" w:color="auto"/>
            </w:tcBorders>
            <w:vAlign w:val="center"/>
          </w:tcPr>
          <w:p w:rsidR="0078112D" w:rsidRDefault="0078112D" w:rsidP="00132F42">
            <w:pPr>
              <w:rPr>
                <w:rFonts w:ascii="Arial" w:hAnsi="Arial" w:cs="Arial"/>
                <w:sz w:val="20"/>
                <w:szCs w:val="20"/>
              </w:rPr>
            </w:pPr>
            <w:r>
              <w:rPr>
                <w:sz w:val="20"/>
                <w:szCs w:val="20"/>
              </w:rPr>
              <w:t>Commercial Large Full-Size Convection Oven (Electric)</w:t>
            </w:r>
            <w:r w:rsidR="00CB5B07">
              <w:rPr>
                <w:sz w:val="20"/>
                <w:szCs w:val="20"/>
              </w:rPr>
              <w:t xml:space="preserve"> </w:t>
            </w:r>
            <w:r>
              <w:rPr>
                <w:sz w:val="20"/>
                <w:szCs w:val="20"/>
              </w:rPr>
              <w:t xml:space="preserve">- </w:t>
            </w:r>
            <w:r w:rsidR="00AD300D">
              <w:rPr>
                <w:sz w:val="20"/>
                <w:szCs w:val="20"/>
              </w:rPr>
              <w:t>Peak</w:t>
            </w:r>
            <w:r w:rsidR="00CB5B07">
              <w:rPr>
                <w:sz w:val="20"/>
                <w:szCs w:val="20"/>
              </w:rPr>
              <w:t xml:space="preserve"> </w:t>
            </w:r>
            <w:r>
              <w:rPr>
                <w:sz w:val="20"/>
                <w:szCs w:val="20"/>
              </w:rPr>
              <w:t>kW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941F0">
              <w:rPr>
                <w:rFonts w:ascii="Arial" w:hAnsi="Arial" w:cs="Arial"/>
                <w:b/>
                <w:sz w:val="20"/>
                <w:szCs w:val="20"/>
              </w:rPr>
              <w:t>0.7</w:t>
            </w:r>
            <w:r>
              <w:rPr>
                <w:rFonts w:ascii="Arial" w:hAnsi="Arial" w:cs="Arial"/>
                <w:b/>
                <w:sz w:val="20"/>
                <w:szCs w:val="20"/>
              </w:rPr>
              <w:t>47</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4941F0">
              <w:rPr>
                <w:rFonts w:ascii="Arial" w:hAnsi="Arial" w:cs="Arial"/>
                <w:b/>
                <w:sz w:val="20"/>
                <w:szCs w:val="20"/>
              </w:rPr>
              <w:t>0.7</w:t>
            </w:r>
            <w:r>
              <w:rPr>
                <w:rFonts w:ascii="Arial" w:hAnsi="Arial" w:cs="Arial"/>
                <w:b/>
                <w:sz w:val="20"/>
                <w:szCs w:val="20"/>
              </w:rPr>
              <w:t>47*0.7=0.553</w:t>
            </w:r>
          </w:p>
        </w:tc>
      </w:tr>
      <w:tr w:rsidR="0078112D" w:rsidTr="00513D64">
        <w:trPr>
          <w:trHeight w:hRule="exact" w:val="550"/>
          <w:jc w:val="center"/>
        </w:trPr>
        <w:tc>
          <w:tcPr>
            <w:tcW w:w="2374" w:type="pct"/>
            <w:tcBorders>
              <w:top w:val="single" w:sz="4" w:space="0" w:color="auto"/>
              <w:left w:val="single" w:sz="4" w:space="0" w:color="auto"/>
              <w:bottom w:val="single" w:sz="4" w:space="0" w:color="auto"/>
              <w:right w:val="single" w:sz="4" w:space="0" w:color="auto"/>
            </w:tcBorders>
          </w:tcPr>
          <w:p w:rsidR="0078112D" w:rsidRDefault="0078112D" w:rsidP="00132F42">
            <w:pPr>
              <w:rPr>
                <w:sz w:val="20"/>
                <w:szCs w:val="20"/>
              </w:rPr>
            </w:pPr>
            <w:r>
              <w:rPr>
                <w:sz w:val="20"/>
                <w:szCs w:val="20"/>
              </w:rPr>
              <w:t>Commercial Half-Size Convection Oven (Gas)</w:t>
            </w:r>
            <w:r w:rsidR="00CB5B07">
              <w:rPr>
                <w:sz w:val="20"/>
                <w:szCs w:val="20"/>
              </w:rPr>
              <w:t xml:space="preserve"> </w:t>
            </w:r>
            <w:r>
              <w:rPr>
                <w:sz w:val="20"/>
                <w:szCs w:val="20"/>
              </w:rPr>
              <w:t xml:space="preserve">- </w:t>
            </w:r>
            <w:r w:rsidR="00CB5B07">
              <w:rPr>
                <w:sz w:val="20"/>
                <w:szCs w:val="20"/>
              </w:rPr>
              <w:t xml:space="preserve">Annual </w:t>
            </w:r>
            <w:r>
              <w:rPr>
                <w:sz w:val="20"/>
                <w:szCs w:val="20"/>
              </w:rPr>
              <w:t>therm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Pr>
                <w:rFonts w:ascii="Arial" w:hAnsi="Arial" w:cs="Arial"/>
                <w:b/>
                <w:sz w:val="20"/>
                <w:szCs w:val="20"/>
              </w:rPr>
              <w:t>231</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Pr>
                <w:rFonts w:ascii="Arial" w:hAnsi="Arial" w:cs="Arial"/>
                <w:b/>
                <w:sz w:val="20"/>
                <w:szCs w:val="20"/>
              </w:rPr>
              <w:t>231*0.7=162</w:t>
            </w:r>
          </w:p>
        </w:tc>
      </w:tr>
      <w:tr w:rsidR="0078112D" w:rsidTr="00513D64">
        <w:trPr>
          <w:trHeight w:hRule="exact" w:val="532"/>
          <w:jc w:val="center"/>
        </w:trPr>
        <w:tc>
          <w:tcPr>
            <w:tcW w:w="2374" w:type="pct"/>
            <w:tcBorders>
              <w:top w:val="single" w:sz="4" w:space="0" w:color="auto"/>
              <w:left w:val="single" w:sz="4" w:space="0" w:color="auto"/>
              <w:bottom w:val="single" w:sz="4" w:space="0" w:color="auto"/>
              <w:right w:val="single" w:sz="4" w:space="0" w:color="auto"/>
            </w:tcBorders>
          </w:tcPr>
          <w:p w:rsidR="0078112D" w:rsidRDefault="0078112D" w:rsidP="00132F42">
            <w:pPr>
              <w:rPr>
                <w:sz w:val="20"/>
                <w:szCs w:val="20"/>
              </w:rPr>
            </w:pPr>
            <w:r>
              <w:rPr>
                <w:sz w:val="20"/>
                <w:szCs w:val="20"/>
              </w:rPr>
              <w:t xml:space="preserve">Commercial </w:t>
            </w:r>
            <w:r w:rsidR="00383FA9">
              <w:rPr>
                <w:sz w:val="20"/>
                <w:szCs w:val="20"/>
              </w:rPr>
              <w:t>Full-Size</w:t>
            </w:r>
            <w:r>
              <w:rPr>
                <w:sz w:val="20"/>
                <w:szCs w:val="20"/>
              </w:rPr>
              <w:t xml:space="preserve"> Convection Oven (Gas)- </w:t>
            </w:r>
            <w:r w:rsidR="00CB5B07">
              <w:rPr>
                <w:sz w:val="20"/>
                <w:szCs w:val="20"/>
              </w:rPr>
              <w:t xml:space="preserve">Annual </w:t>
            </w:r>
            <w:r>
              <w:rPr>
                <w:sz w:val="20"/>
                <w:szCs w:val="20"/>
              </w:rPr>
              <w:t>therm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2B1B37">
              <w:rPr>
                <w:rFonts w:ascii="Arial" w:hAnsi="Arial" w:cs="Arial"/>
                <w:b/>
                <w:sz w:val="20"/>
                <w:szCs w:val="20"/>
              </w:rPr>
              <w:t>357</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2B1B37">
              <w:rPr>
                <w:rFonts w:ascii="Arial" w:hAnsi="Arial" w:cs="Arial"/>
                <w:b/>
                <w:sz w:val="20"/>
                <w:szCs w:val="20"/>
              </w:rPr>
              <w:t>357</w:t>
            </w:r>
            <w:r>
              <w:rPr>
                <w:rFonts w:ascii="Arial" w:hAnsi="Arial" w:cs="Arial"/>
                <w:b/>
                <w:sz w:val="20"/>
                <w:szCs w:val="20"/>
              </w:rPr>
              <w:t>*0.7=250</w:t>
            </w:r>
          </w:p>
        </w:tc>
      </w:tr>
      <w:tr w:rsidR="0078112D" w:rsidTr="00513D64">
        <w:trPr>
          <w:trHeight w:hRule="exact" w:val="460"/>
          <w:jc w:val="center"/>
        </w:trPr>
        <w:tc>
          <w:tcPr>
            <w:tcW w:w="2374" w:type="pct"/>
            <w:tcBorders>
              <w:top w:val="single" w:sz="4" w:space="0" w:color="auto"/>
              <w:left w:val="single" w:sz="4" w:space="0" w:color="auto"/>
              <w:bottom w:val="single" w:sz="4" w:space="0" w:color="auto"/>
              <w:right w:val="single" w:sz="4" w:space="0" w:color="auto"/>
            </w:tcBorders>
          </w:tcPr>
          <w:p w:rsidR="0078112D" w:rsidRDefault="0078112D" w:rsidP="00132F42">
            <w:pPr>
              <w:rPr>
                <w:sz w:val="20"/>
                <w:szCs w:val="20"/>
              </w:rPr>
            </w:pPr>
            <w:r>
              <w:rPr>
                <w:sz w:val="20"/>
                <w:szCs w:val="20"/>
              </w:rPr>
              <w:t xml:space="preserve">Commercial </w:t>
            </w:r>
            <w:r w:rsidR="00383FA9">
              <w:rPr>
                <w:sz w:val="20"/>
                <w:szCs w:val="20"/>
              </w:rPr>
              <w:t>Large Full-Size</w:t>
            </w:r>
            <w:r>
              <w:rPr>
                <w:sz w:val="20"/>
                <w:szCs w:val="20"/>
              </w:rPr>
              <w:t xml:space="preserve"> Convection Oven (Gas)- </w:t>
            </w:r>
            <w:r w:rsidR="00CB5B07">
              <w:rPr>
                <w:sz w:val="20"/>
                <w:szCs w:val="20"/>
              </w:rPr>
              <w:t xml:space="preserve">Annual </w:t>
            </w:r>
            <w:r>
              <w:rPr>
                <w:sz w:val="20"/>
                <w:szCs w:val="20"/>
              </w:rPr>
              <w:t>therm savings</w:t>
            </w:r>
          </w:p>
        </w:tc>
        <w:tc>
          <w:tcPr>
            <w:tcW w:w="1366"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1400D2">
              <w:rPr>
                <w:rFonts w:ascii="Arial" w:hAnsi="Arial" w:cs="Arial"/>
                <w:b/>
                <w:sz w:val="20"/>
                <w:szCs w:val="20"/>
              </w:rPr>
              <w:t>456</w:t>
            </w:r>
          </w:p>
        </w:tc>
        <w:tc>
          <w:tcPr>
            <w:tcW w:w="1260" w:type="pct"/>
            <w:tcBorders>
              <w:top w:val="single" w:sz="4" w:space="0" w:color="auto"/>
              <w:left w:val="single" w:sz="4" w:space="0" w:color="auto"/>
              <w:bottom w:val="single" w:sz="4" w:space="0" w:color="auto"/>
              <w:right w:val="single" w:sz="4" w:space="0" w:color="auto"/>
            </w:tcBorders>
            <w:vAlign w:val="center"/>
          </w:tcPr>
          <w:p w:rsidR="0078112D" w:rsidRDefault="00946033" w:rsidP="00132F42">
            <w:pPr>
              <w:jc w:val="center"/>
              <w:rPr>
                <w:rFonts w:ascii="Arial" w:hAnsi="Arial" w:cs="Arial"/>
                <w:sz w:val="20"/>
                <w:szCs w:val="20"/>
              </w:rPr>
            </w:pPr>
            <w:r w:rsidRPr="001400D2">
              <w:rPr>
                <w:rFonts w:ascii="Arial" w:hAnsi="Arial" w:cs="Arial"/>
                <w:b/>
                <w:sz w:val="20"/>
                <w:szCs w:val="20"/>
              </w:rPr>
              <w:t>456</w:t>
            </w:r>
            <w:r>
              <w:rPr>
                <w:rFonts w:ascii="Arial" w:hAnsi="Arial" w:cs="Arial"/>
                <w:b/>
                <w:sz w:val="20"/>
                <w:szCs w:val="20"/>
              </w:rPr>
              <w:t>*0.7=319</w:t>
            </w:r>
          </w:p>
        </w:tc>
      </w:tr>
    </w:tbl>
    <w:p w:rsidR="0078112D" w:rsidRPr="0078112D" w:rsidRDefault="0078112D" w:rsidP="00E06F4E">
      <w:pPr>
        <w:rPr>
          <w:b/>
          <w:u w:val="single"/>
          <w:lang w:eastAsia="x-none"/>
        </w:rPr>
      </w:pPr>
    </w:p>
    <w:p w:rsidR="00253CC6" w:rsidRDefault="00253CC6" w:rsidP="00E06F4E">
      <w:pPr>
        <w:pStyle w:val="Heading2"/>
        <w:rPr>
          <w:lang w:val="en-US"/>
        </w:rPr>
      </w:pPr>
      <w:bookmarkStart w:id="59" w:name="_Toc452475163"/>
    </w:p>
    <w:p w:rsidR="00DC2C59" w:rsidRDefault="00DC2C59" w:rsidP="00E06F4E">
      <w:pPr>
        <w:pStyle w:val="Heading2"/>
        <w:rPr>
          <w:lang w:val="en-US"/>
        </w:rPr>
      </w:pPr>
      <w:bookmarkStart w:id="60" w:name="_Toc458439245"/>
    </w:p>
    <w:p w:rsidR="00DC2C59" w:rsidRDefault="00DC2C59" w:rsidP="00DC2C59">
      <w:pPr>
        <w:rPr>
          <w:lang w:eastAsia="x-none"/>
        </w:rPr>
      </w:pPr>
    </w:p>
    <w:p w:rsidR="00DC2C59" w:rsidRDefault="00DC2C59" w:rsidP="00DC2C59">
      <w:pPr>
        <w:rPr>
          <w:lang w:eastAsia="x-none"/>
        </w:rPr>
      </w:pPr>
    </w:p>
    <w:p w:rsidR="00DC2C59" w:rsidRDefault="00DC2C59" w:rsidP="00DC2C59">
      <w:pPr>
        <w:rPr>
          <w:lang w:eastAsia="x-none"/>
        </w:rPr>
      </w:pPr>
    </w:p>
    <w:p w:rsidR="00DC2C59" w:rsidRDefault="00DC2C59" w:rsidP="00DC2C59">
      <w:pPr>
        <w:rPr>
          <w:lang w:eastAsia="x-none"/>
        </w:rPr>
      </w:pPr>
    </w:p>
    <w:p w:rsidR="00DC2C59" w:rsidRDefault="00DC2C59" w:rsidP="00DC2C59">
      <w:pPr>
        <w:rPr>
          <w:lang w:eastAsia="x-none"/>
        </w:rPr>
      </w:pPr>
    </w:p>
    <w:p w:rsidR="00DC2C59" w:rsidRDefault="00DC2C59" w:rsidP="00DC2C59">
      <w:pPr>
        <w:rPr>
          <w:lang w:eastAsia="x-none"/>
        </w:rPr>
      </w:pPr>
    </w:p>
    <w:p w:rsidR="00DC2C59" w:rsidRDefault="00DC2C59" w:rsidP="00DC2C59">
      <w:pPr>
        <w:rPr>
          <w:lang w:eastAsia="x-none"/>
        </w:rPr>
      </w:pPr>
    </w:p>
    <w:p w:rsidR="00DC2C59" w:rsidRPr="00DC2C59" w:rsidRDefault="00DC2C59" w:rsidP="00DC2C59">
      <w:pPr>
        <w:rPr>
          <w:lang w:eastAsia="x-none"/>
        </w:rPr>
      </w:pPr>
    </w:p>
    <w:p w:rsidR="00E06F4E" w:rsidRDefault="00E06F4E" w:rsidP="00E06F4E">
      <w:pPr>
        <w:pStyle w:val="Heading2"/>
        <w:rPr>
          <w:lang w:val="en-US"/>
        </w:rPr>
      </w:pPr>
      <w:r>
        <w:lastRenderedPageBreak/>
        <w:t>2.1 Electric Energy Savings Estimation Methodologies</w:t>
      </w:r>
      <w:bookmarkEnd w:id="59"/>
      <w:bookmarkEnd w:id="60"/>
    </w:p>
    <w:p w:rsidR="0078112D" w:rsidRPr="0078112D" w:rsidRDefault="0078112D" w:rsidP="0078112D">
      <w:pPr>
        <w:rPr>
          <w:lang w:eastAsia="x-none"/>
        </w:rPr>
      </w:pPr>
    </w:p>
    <w:p w:rsidR="003B67F8" w:rsidRPr="003B67F8" w:rsidRDefault="003B67F8" w:rsidP="003B67F8">
      <w:pPr>
        <w:rPr>
          <w:highlight w:val="green"/>
        </w:rPr>
      </w:pPr>
      <w:r>
        <w:t>The industry standard for energy use and cooking performance of convection ovens is ASTM Standard Test Method for the</w:t>
      </w:r>
      <w:r>
        <w:rPr>
          <w:rFonts w:ascii="Arial" w:hAnsi="Arial" w:cs="Arial"/>
          <w:i/>
          <w:iCs/>
        </w:rPr>
        <w:t xml:space="preserve"> </w:t>
      </w:r>
      <w:r>
        <w:t xml:space="preserve">Performance of Convection ovens (F1496). Tables </w:t>
      </w:r>
      <w:r w:rsidR="0037302E">
        <w:t>9</w:t>
      </w:r>
      <w:r>
        <w:t xml:space="preserve"> - 1</w:t>
      </w:r>
      <w:r w:rsidR="0037302E">
        <w:t>1</w:t>
      </w:r>
      <w:r>
        <w:t xml:space="preserve"> show examples of the calculation results for electric convection ovens based on ASTM F1496 test results.</w:t>
      </w:r>
      <w:bookmarkStart w:id="61" w:name="_Toc174327975"/>
      <w:r w:rsidR="00961369">
        <w:t xml:space="preserve"> To simplify the calculation the preheat time is assumed to be 15 min, since the industry standard preheat time is from 10-20min.</w:t>
      </w:r>
    </w:p>
    <w:p w:rsidR="003B67F8" w:rsidRDefault="003B67F8" w:rsidP="003B67F8">
      <w:pPr>
        <w:pStyle w:val="Table"/>
        <w:ind w:left="360"/>
      </w:pPr>
    </w:p>
    <w:p w:rsidR="003B67F8" w:rsidRDefault="003B67F8" w:rsidP="009B5429">
      <w:pPr>
        <w:pStyle w:val="Table"/>
        <w:ind w:left="360"/>
        <w:jc w:val="center"/>
      </w:pPr>
    </w:p>
    <w:p w:rsidR="00343417" w:rsidRPr="006038C6" w:rsidRDefault="00343417" w:rsidP="009B5429">
      <w:pPr>
        <w:pStyle w:val="Caption"/>
        <w:keepNext/>
        <w:jc w:val="center"/>
        <w:rPr>
          <w:sz w:val="24"/>
          <w:szCs w:val="24"/>
          <w:lang w:val="en-US"/>
        </w:rPr>
      </w:pPr>
      <w:bookmarkStart w:id="62" w:name="_Toc458439263"/>
      <w:r w:rsidRPr="006038C6">
        <w:rPr>
          <w:sz w:val="24"/>
          <w:szCs w:val="24"/>
        </w:rPr>
        <w:t>Tab</w:t>
      </w:r>
      <w:r w:rsidR="006038C6" w:rsidRPr="006038C6">
        <w:rPr>
          <w:sz w:val="24"/>
          <w:szCs w:val="24"/>
        </w:rPr>
        <w:t>le</w:t>
      </w:r>
      <w:r w:rsidR="006038C6" w:rsidRPr="006038C6">
        <w:rPr>
          <w:sz w:val="24"/>
          <w:szCs w:val="24"/>
          <w:lang w:val="en-US"/>
        </w:rPr>
        <w:t>-</w:t>
      </w:r>
      <w:r w:rsidRPr="006038C6">
        <w:rPr>
          <w:sz w:val="24"/>
          <w:szCs w:val="24"/>
        </w:rPr>
        <w:fldChar w:fldCharType="begin"/>
      </w:r>
      <w:r w:rsidRPr="006038C6">
        <w:rPr>
          <w:sz w:val="24"/>
          <w:szCs w:val="24"/>
        </w:rPr>
        <w:instrText xml:space="preserve"> SEQ Table \* ARABIC </w:instrText>
      </w:r>
      <w:r w:rsidRPr="006038C6">
        <w:rPr>
          <w:sz w:val="24"/>
          <w:szCs w:val="24"/>
        </w:rPr>
        <w:fldChar w:fldCharType="separate"/>
      </w:r>
      <w:r w:rsidR="005B57BE">
        <w:rPr>
          <w:noProof/>
          <w:sz w:val="24"/>
          <w:szCs w:val="24"/>
        </w:rPr>
        <w:t>9</w:t>
      </w:r>
      <w:r w:rsidRPr="006038C6">
        <w:rPr>
          <w:sz w:val="24"/>
          <w:szCs w:val="24"/>
        </w:rPr>
        <w:fldChar w:fldCharType="end"/>
      </w:r>
      <w:r w:rsidR="006038C6" w:rsidRPr="006038C6">
        <w:rPr>
          <w:sz w:val="24"/>
          <w:szCs w:val="24"/>
          <w:lang w:val="en-US"/>
        </w:rPr>
        <w:t xml:space="preserve">: </w:t>
      </w:r>
      <w:r w:rsidRPr="006038C6">
        <w:rPr>
          <w:sz w:val="24"/>
          <w:szCs w:val="24"/>
        </w:rPr>
        <w:t>Commercial Electric Half-Size Convection Oven Cost-Effectiveness Example</w:t>
      </w:r>
      <w:bookmarkEnd w:id="62"/>
    </w:p>
    <w:tbl>
      <w:tblPr>
        <w:tblW w:w="44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9"/>
        <w:gridCol w:w="2341"/>
        <w:gridCol w:w="2159"/>
      </w:tblGrid>
      <w:tr w:rsidR="003B67F8" w:rsidTr="001C4039">
        <w:trPr>
          <w:trHeight w:val="432"/>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b/>
                <w:bCs/>
              </w:rPr>
            </w:pPr>
            <w:r>
              <w:rPr>
                <w:rFonts w:ascii="Arial" w:hAnsi="Arial" w:cs="Arial"/>
                <w:b/>
                <w:bCs/>
              </w:rPr>
              <w:t>Performance</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b/>
                <w:bCs/>
              </w:rPr>
            </w:pPr>
            <w:r>
              <w:rPr>
                <w:rFonts w:ascii="Arial" w:hAnsi="Arial" w:cs="Arial"/>
                <w:b/>
                <w:bCs/>
              </w:rPr>
              <w:t>Baseline Model</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b/>
                <w:bCs/>
              </w:rPr>
            </w:pPr>
            <w:r>
              <w:rPr>
                <w:rFonts w:ascii="Arial" w:hAnsi="Arial" w:cs="Arial"/>
                <w:b/>
                <w:bCs/>
              </w:rPr>
              <w:t>Energy Efficient Model</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Preheat Energy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1.00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0.90</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Idle Energy Rate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0.88</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Heavy Load Cooking Energy Efficiency (%)</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8A098A" w:rsidP="001C4039">
            <w:pPr>
              <w:jc w:val="center"/>
              <w:rPr>
                <w:rFonts w:ascii="Arial" w:hAnsi="Arial" w:cs="Arial"/>
                <w:sz w:val="20"/>
                <w:szCs w:val="20"/>
              </w:rPr>
            </w:pPr>
            <w:r>
              <w:rPr>
                <w:rFonts w:ascii="Arial" w:hAnsi="Arial" w:cs="Arial"/>
                <w:sz w:val="20"/>
                <w:szCs w:val="20"/>
              </w:rPr>
              <w:t>65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8A098A" w:rsidP="001C4039">
            <w:pPr>
              <w:jc w:val="center"/>
              <w:rPr>
                <w:rFonts w:ascii="Arial" w:hAnsi="Arial" w:cs="Arial"/>
                <w:sz w:val="20"/>
                <w:szCs w:val="20"/>
              </w:rPr>
            </w:pPr>
            <w:r>
              <w:rPr>
                <w:rFonts w:ascii="Arial" w:hAnsi="Arial" w:cs="Arial"/>
                <w:sz w:val="20"/>
                <w:szCs w:val="20"/>
              </w:rPr>
              <w:t>72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Production Capacity (lbs/hr)</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45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53</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Operating Hours/Day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Operating Days/Year</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365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365</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Number of Preheats per 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Pounds of Food Cooked per 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100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100</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ASTM Energy to Food (kWh/lb)</w:t>
            </w:r>
            <w:r w:rsidR="00FA1B9B" w:rsidRPr="00FA1B9B">
              <w:rPr>
                <w:rFonts w:ascii="Arial" w:hAnsi="Arial" w:cs="Arial"/>
                <w:sz w:val="20"/>
                <w:szCs w:val="20"/>
                <w:vertAlign w:val="superscript"/>
              </w:rPr>
              <w:t>a</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0.0732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0.0732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Daily Energy Consumption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A7341A" w:rsidRDefault="003B67F8" w:rsidP="001C4039">
            <w:pPr>
              <w:jc w:val="center"/>
              <w:rPr>
                <w:rFonts w:ascii="Arial" w:hAnsi="Arial" w:cs="Arial"/>
                <w:sz w:val="20"/>
                <w:szCs w:val="20"/>
              </w:rPr>
            </w:pPr>
            <w:r w:rsidRPr="00A7341A">
              <w:rPr>
                <w:rFonts w:ascii="Arial" w:hAnsi="Arial" w:cs="Arial"/>
                <w:sz w:val="20"/>
                <w:szCs w:val="20"/>
              </w:rPr>
              <w:t>26.6</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A7341A" w:rsidRDefault="003B67F8" w:rsidP="001C4039">
            <w:pPr>
              <w:jc w:val="center"/>
              <w:rPr>
                <w:rFonts w:ascii="Arial" w:hAnsi="Arial" w:cs="Arial"/>
                <w:sz w:val="20"/>
                <w:szCs w:val="20"/>
              </w:rPr>
            </w:pPr>
            <w:r w:rsidRPr="00A7341A">
              <w:rPr>
                <w:rFonts w:ascii="Arial" w:hAnsi="Arial" w:cs="Arial"/>
                <w:sz w:val="20"/>
                <w:szCs w:val="20"/>
              </w:rPr>
              <w:t>19.7</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Average Demand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2.2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1.6</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Demand Reduction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FA1B9B">
            <w:pPr>
              <w:jc w:val="center"/>
              <w:rPr>
                <w:rFonts w:ascii="Arial" w:hAnsi="Arial" w:cs="Arial"/>
                <w:sz w:val="20"/>
                <w:szCs w:val="20"/>
              </w:rPr>
            </w:pPr>
            <w:r>
              <w:rPr>
                <w:rFonts w:ascii="Arial" w:hAnsi="Arial" w:cs="Arial"/>
                <w:sz w:val="20"/>
                <w:szCs w:val="20"/>
              </w:rPr>
              <w:t>0.</w:t>
            </w:r>
            <w:r w:rsidR="00FA1B9B">
              <w:rPr>
                <w:rFonts w:ascii="Arial" w:hAnsi="Arial" w:cs="Arial"/>
                <w:sz w:val="20"/>
                <w:szCs w:val="20"/>
              </w:rPr>
              <w:t>6</w:t>
            </w:r>
          </w:p>
        </w:tc>
      </w:tr>
      <w:tr w:rsidR="0025359F"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25359F" w:rsidRDefault="0025359F" w:rsidP="001C4039">
            <w:pPr>
              <w:rPr>
                <w:rFonts w:ascii="Arial" w:hAnsi="Arial" w:cs="Arial"/>
                <w:sz w:val="20"/>
                <w:szCs w:val="20"/>
              </w:rPr>
            </w:pPr>
            <w:r>
              <w:rPr>
                <w:rFonts w:ascii="Arial" w:hAnsi="Arial" w:cs="Arial"/>
                <w:sz w:val="20"/>
                <w:szCs w:val="20"/>
              </w:rPr>
              <w:t>Actual Demand Reduction with CDF of 0.9 (kW)</w:t>
            </w:r>
          </w:p>
        </w:tc>
        <w:tc>
          <w:tcPr>
            <w:tcW w:w="1366" w:type="pct"/>
            <w:tcBorders>
              <w:top w:val="single" w:sz="4" w:space="0" w:color="auto"/>
              <w:left w:val="single" w:sz="4" w:space="0" w:color="auto"/>
              <w:bottom w:val="single" w:sz="4" w:space="0" w:color="auto"/>
              <w:right w:val="single" w:sz="4" w:space="0" w:color="auto"/>
            </w:tcBorders>
            <w:vAlign w:val="center"/>
          </w:tcPr>
          <w:p w:rsidR="0025359F" w:rsidRDefault="0025359F" w:rsidP="001C4039">
            <w:pPr>
              <w:jc w:val="center"/>
              <w:rPr>
                <w:rFonts w:ascii="Arial" w:hAnsi="Arial" w:cs="Arial"/>
                <w:sz w:val="20"/>
                <w:szCs w:val="20"/>
              </w:rPr>
            </w:pPr>
            <w:r>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25359F" w:rsidRPr="0025359F" w:rsidRDefault="00FA1B9B" w:rsidP="0025359F">
            <w:pPr>
              <w:jc w:val="center"/>
              <w:rPr>
                <w:rFonts w:ascii="Arial" w:hAnsi="Arial" w:cs="Arial"/>
                <w:b/>
                <w:sz w:val="20"/>
                <w:szCs w:val="20"/>
              </w:rPr>
            </w:pPr>
            <w:r>
              <w:rPr>
                <w:rFonts w:ascii="Arial" w:hAnsi="Arial" w:cs="Arial"/>
                <w:b/>
                <w:sz w:val="20"/>
                <w:szCs w:val="20"/>
              </w:rPr>
              <w:t>0.54</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Annual Energy Consumption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85CA0">
            <w:pPr>
              <w:jc w:val="center"/>
              <w:rPr>
                <w:rFonts w:ascii="Arial" w:hAnsi="Arial" w:cs="Arial"/>
                <w:sz w:val="20"/>
                <w:szCs w:val="20"/>
              </w:rPr>
            </w:pPr>
            <w:r>
              <w:rPr>
                <w:rFonts w:ascii="Arial" w:hAnsi="Arial" w:cs="Arial"/>
                <w:sz w:val="20"/>
                <w:szCs w:val="20"/>
              </w:rPr>
              <w:t>9,</w:t>
            </w:r>
            <w:r w:rsidR="00185CA0">
              <w:rPr>
                <w:rFonts w:ascii="Arial" w:hAnsi="Arial" w:cs="Arial"/>
                <w:sz w:val="20"/>
                <w:szCs w:val="20"/>
              </w:rPr>
              <w:t>692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85CA0">
            <w:pPr>
              <w:jc w:val="center"/>
              <w:rPr>
                <w:rFonts w:ascii="Arial" w:hAnsi="Arial" w:cs="Arial"/>
                <w:sz w:val="20"/>
                <w:szCs w:val="20"/>
              </w:rPr>
            </w:pPr>
            <w:r>
              <w:rPr>
                <w:rFonts w:ascii="Arial" w:hAnsi="Arial" w:cs="Arial"/>
                <w:sz w:val="20"/>
                <w:szCs w:val="20"/>
              </w:rPr>
              <w:t>7,</w:t>
            </w:r>
            <w:r w:rsidR="00185CA0">
              <w:rPr>
                <w:rFonts w:ascii="Arial" w:hAnsi="Arial" w:cs="Arial"/>
                <w:sz w:val="20"/>
                <w:szCs w:val="20"/>
              </w:rPr>
              <w:t>207</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Energy Savings (kWh/yr)</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B22CF" w:rsidRDefault="003B67F8" w:rsidP="00185CA0">
            <w:pPr>
              <w:jc w:val="center"/>
              <w:rPr>
                <w:rFonts w:ascii="Arial" w:hAnsi="Arial" w:cs="Arial"/>
                <w:b/>
                <w:sz w:val="20"/>
                <w:szCs w:val="20"/>
              </w:rPr>
            </w:pPr>
            <w:r w:rsidRPr="004B22CF">
              <w:rPr>
                <w:rFonts w:ascii="Arial" w:hAnsi="Arial" w:cs="Arial"/>
                <w:b/>
                <w:sz w:val="20"/>
                <w:szCs w:val="20"/>
              </w:rPr>
              <w:t>2,</w:t>
            </w:r>
            <w:r w:rsidR="00185CA0">
              <w:rPr>
                <w:rFonts w:ascii="Arial" w:hAnsi="Arial" w:cs="Arial"/>
                <w:b/>
                <w:sz w:val="20"/>
                <w:szCs w:val="20"/>
              </w:rPr>
              <w:t>485</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Useful Life (EUL)</w:t>
            </w:r>
            <w:r w:rsidR="00185CA0">
              <w:rPr>
                <w:rFonts w:ascii="Arial" w:hAnsi="Arial" w:cs="Arial"/>
                <w:sz w:val="20"/>
                <w:szCs w:val="20"/>
                <w:vertAlign w:val="superscript"/>
              </w:rPr>
              <w:t>b</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r>
    </w:tbl>
    <w:p w:rsidR="006826BA" w:rsidRPr="0020076B" w:rsidRDefault="00185CA0" w:rsidP="006826BA">
      <w:pPr>
        <w:rPr>
          <w:sz w:val="18"/>
          <w:szCs w:val="18"/>
        </w:rPr>
      </w:pPr>
      <w:r w:rsidRPr="0020076B">
        <w:rPr>
          <w:sz w:val="18"/>
          <w:szCs w:val="18"/>
          <w:vertAlign w:val="superscript"/>
        </w:rPr>
        <w:t xml:space="preserve"> </w:t>
      </w:r>
      <w:r w:rsidR="00135AD5" w:rsidRPr="0020076B">
        <w:rPr>
          <w:sz w:val="18"/>
          <w:szCs w:val="18"/>
          <w:vertAlign w:val="superscript"/>
        </w:rPr>
        <w:t xml:space="preserve">           </w:t>
      </w:r>
      <w:r w:rsidRPr="0020076B">
        <w:rPr>
          <w:sz w:val="18"/>
          <w:szCs w:val="18"/>
          <w:vertAlign w:val="subscript"/>
        </w:rPr>
        <w:t xml:space="preserve"> </w:t>
      </w:r>
      <w:r w:rsidR="00224E06" w:rsidRPr="0020076B">
        <w:rPr>
          <w:sz w:val="18"/>
          <w:szCs w:val="18"/>
          <w:vertAlign w:val="subscript"/>
        </w:rPr>
        <w:t>a</w:t>
      </w:r>
      <w:r w:rsidR="003B67F8" w:rsidRPr="0020076B">
        <w:rPr>
          <w:sz w:val="18"/>
          <w:szCs w:val="18"/>
          <w:vertAlign w:val="subscript"/>
        </w:rPr>
        <w:t xml:space="preserve"> </w:t>
      </w:r>
      <w:r w:rsidRPr="0020076B">
        <w:rPr>
          <w:sz w:val="18"/>
          <w:szCs w:val="18"/>
        </w:rPr>
        <w:t xml:space="preserve">   </w:t>
      </w:r>
      <w:r w:rsidR="006826BA" w:rsidRPr="0020076B">
        <w:rPr>
          <w:sz w:val="18"/>
          <w:szCs w:val="18"/>
          <w:lang w:val="x-none" w:eastAsia="x-none"/>
        </w:rPr>
        <w:t xml:space="preserve">This is the average value calculated by FSTC through ASTM F1496 test </w:t>
      </w:r>
      <w:r w:rsidR="006826BA" w:rsidRPr="0020076B">
        <w:rPr>
          <w:sz w:val="18"/>
          <w:szCs w:val="18"/>
          <w:lang w:eastAsia="x-none"/>
        </w:rPr>
        <w:t xml:space="preserve">through weight and temperature </w:t>
      </w:r>
      <w:r w:rsidR="006826BA" w:rsidRPr="0020076B">
        <w:rPr>
          <w:sz w:val="18"/>
          <w:szCs w:val="18"/>
          <w:lang w:eastAsia="x-none"/>
        </w:rPr>
        <w:tab/>
        <w:t xml:space="preserve">measurement of test product cooked in convection ovens </w:t>
      </w:r>
      <w:r w:rsidR="006826BA" w:rsidRPr="0020076B">
        <w:rPr>
          <w:sz w:val="18"/>
          <w:szCs w:val="18"/>
          <w:lang w:val="x-none" w:eastAsia="x-none"/>
        </w:rPr>
        <w:t>(250 Btu/lb for russet potato</w:t>
      </w:r>
      <w:r w:rsidR="006826BA" w:rsidRPr="0020076B">
        <w:rPr>
          <w:sz w:val="18"/>
          <w:szCs w:val="18"/>
          <w:lang w:eastAsia="x-none"/>
        </w:rPr>
        <w:t>);</w:t>
      </w:r>
      <w:r w:rsidR="006826BA" w:rsidRPr="0020076B">
        <w:rPr>
          <w:sz w:val="18"/>
          <w:szCs w:val="18"/>
        </w:rPr>
        <w:t xml:space="preserve"> 25</w:t>
      </w:r>
      <w:r w:rsidR="0020076B">
        <w:rPr>
          <w:sz w:val="18"/>
          <w:szCs w:val="18"/>
        </w:rPr>
        <w:t xml:space="preserve">0/3412=0.0732 </w:t>
      </w:r>
      <w:r w:rsidR="006826BA" w:rsidRPr="0020076B">
        <w:rPr>
          <w:sz w:val="18"/>
          <w:szCs w:val="18"/>
        </w:rPr>
        <w:t xml:space="preserve">kWh/lb)  </w:t>
      </w:r>
      <w:r w:rsidR="0020076B">
        <w:rPr>
          <w:sz w:val="18"/>
          <w:szCs w:val="18"/>
        </w:rPr>
        <w:tab/>
      </w:r>
      <w:hyperlink r:id="rId18" w:history="1">
        <w:r w:rsidR="006826BA" w:rsidRPr="0020076B">
          <w:rPr>
            <w:rStyle w:val="Hyperlink"/>
            <w:sz w:val="18"/>
            <w:szCs w:val="18"/>
            <w:lang w:eastAsia="x-none"/>
          </w:rPr>
          <w:t>http://www.fishnick.com/publications/appliancereports/convectionovens/</w:t>
        </w:r>
      </w:hyperlink>
    </w:p>
    <w:p w:rsidR="003B67F8" w:rsidRPr="0020076B" w:rsidRDefault="00185CA0" w:rsidP="00185CA0">
      <w:pPr>
        <w:pStyle w:val="BodyText"/>
        <w:rPr>
          <w:lang w:val="en-US"/>
        </w:rPr>
      </w:pPr>
      <w:r w:rsidRPr="0020076B">
        <w:rPr>
          <w:lang w:val="en-US"/>
        </w:rPr>
        <w:t xml:space="preserve">        </w:t>
      </w:r>
      <w:r w:rsidRPr="0020076B">
        <w:rPr>
          <w:vertAlign w:val="subscript"/>
          <w:lang w:val="en-US"/>
        </w:rPr>
        <w:t xml:space="preserve">b </w:t>
      </w:r>
      <w:r w:rsidRPr="0020076B">
        <w:rPr>
          <w:lang w:val="en-US"/>
        </w:rPr>
        <w:t xml:space="preserve">   </w:t>
      </w:r>
      <w:r w:rsidR="003B67F8" w:rsidRPr="0020076B">
        <w:rPr>
          <w:lang w:val="en-US"/>
        </w:rPr>
        <w:t>The estima</w:t>
      </w:r>
      <w:r w:rsidR="00690C32">
        <w:rPr>
          <w:lang w:val="en-US"/>
        </w:rPr>
        <w:t xml:space="preserve">ted useful life is based on </w:t>
      </w:r>
      <w:r w:rsidR="003B67F8" w:rsidRPr="0020076B">
        <w:rPr>
          <w:lang w:val="en-US"/>
        </w:rPr>
        <w:t>DEER EUL estimates.</w:t>
      </w:r>
    </w:p>
    <w:p w:rsidR="003B67F8" w:rsidRDefault="003B67F8" w:rsidP="003B67F8">
      <w:pPr>
        <w:pStyle w:val="Table"/>
        <w:ind w:left="360"/>
        <w:rPr>
          <w:lang w:val="en-US"/>
        </w:rPr>
      </w:pPr>
      <w:bookmarkStart w:id="63" w:name="_Toc326215690"/>
    </w:p>
    <w:bookmarkEnd w:id="63"/>
    <w:p w:rsidR="003B67F8" w:rsidRDefault="003B67F8" w:rsidP="009B5429">
      <w:pPr>
        <w:pStyle w:val="Table"/>
        <w:ind w:left="360"/>
        <w:jc w:val="center"/>
        <w:rPr>
          <w:lang w:val="en-US"/>
        </w:rPr>
      </w:pPr>
    </w:p>
    <w:p w:rsidR="00224E06" w:rsidRDefault="00224E06" w:rsidP="009B5429">
      <w:pPr>
        <w:pStyle w:val="Table"/>
        <w:ind w:left="360"/>
        <w:jc w:val="center"/>
        <w:rPr>
          <w:lang w:val="en-US"/>
        </w:rPr>
      </w:pPr>
    </w:p>
    <w:p w:rsidR="00224E06" w:rsidRDefault="00224E06" w:rsidP="009B5429">
      <w:pPr>
        <w:pStyle w:val="Table"/>
        <w:ind w:left="360"/>
        <w:jc w:val="center"/>
        <w:rPr>
          <w:lang w:val="en-US"/>
        </w:rPr>
      </w:pPr>
    </w:p>
    <w:p w:rsidR="00224E06" w:rsidRDefault="00224E06" w:rsidP="009B5429">
      <w:pPr>
        <w:pStyle w:val="Table"/>
        <w:ind w:left="360"/>
        <w:jc w:val="center"/>
        <w:rPr>
          <w:lang w:val="en-US"/>
        </w:rPr>
      </w:pPr>
    </w:p>
    <w:p w:rsidR="00224E06" w:rsidRDefault="00224E06" w:rsidP="009B5429">
      <w:pPr>
        <w:pStyle w:val="Table"/>
        <w:ind w:left="360"/>
        <w:jc w:val="center"/>
        <w:rPr>
          <w:lang w:val="en-US"/>
        </w:rPr>
      </w:pPr>
    </w:p>
    <w:p w:rsidR="00224E06" w:rsidRDefault="00224E06" w:rsidP="009B5429">
      <w:pPr>
        <w:pStyle w:val="Table"/>
        <w:ind w:left="360"/>
        <w:jc w:val="center"/>
        <w:rPr>
          <w:lang w:val="en-US"/>
        </w:rPr>
      </w:pPr>
    </w:p>
    <w:p w:rsidR="00224E06" w:rsidRDefault="00224E06" w:rsidP="009B5429">
      <w:pPr>
        <w:pStyle w:val="Table"/>
        <w:ind w:left="360"/>
        <w:jc w:val="center"/>
        <w:rPr>
          <w:lang w:val="en-US"/>
        </w:rPr>
      </w:pPr>
    </w:p>
    <w:p w:rsidR="00B954B7" w:rsidRDefault="00B954B7" w:rsidP="009B5429">
      <w:pPr>
        <w:pStyle w:val="Table"/>
        <w:ind w:left="360"/>
        <w:jc w:val="center"/>
        <w:rPr>
          <w:lang w:val="en-US"/>
        </w:rPr>
      </w:pPr>
    </w:p>
    <w:p w:rsidR="00B954B7" w:rsidRDefault="00B954B7" w:rsidP="009B5429">
      <w:pPr>
        <w:pStyle w:val="Table"/>
        <w:ind w:left="360"/>
        <w:jc w:val="center"/>
        <w:rPr>
          <w:lang w:val="en-US"/>
        </w:rPr>
      </w:pPr>
    </w:p>
    <w:p w:rsidR="00B954B7" w:rsidRDefault="00B954B7" w:rsidP="009B5429">
      <w:pPr>
        <w:pStyle w:val="Table"/>
        <w:ind w:left="360"/>
        <w:jc w:val="center"/>
        <w:rPr>
          <w:lang w:val="en-US"/>
        </w:rPr>
      </w:pPr>
    </w:p>
    <w:p w:rsidR="00B954B7" w:rsidRDefault="00B954B7" w:rsidP="009B5429">
      <w:pPr>
        <w:pStyle w:val="Table"/>
        <w:ind w:left="360"/>
        <w:jc w:val="center"/>
        <w:rPr>
          <w:lang w:val="en-US"/>
        </w:rPr>
      </w:pPr>
    </w:p>
    <w:p w:rsidR="00B954B7" w:rsidRDefault="00B954B7" w:rsidP="009B5429">
      <w:pPr>
        <w:pStyle w:val="Table"/>
        <w:ind w:left="360"/>
        <w:jc w:val="center"/>
        <w:rPr>
          <w:lang w:val="en-US"/>
        </w:rPr>
      </w:pPr>
    </w:p>
    <w:p w:rsidR="005B57BE" w:rsidRDefault="005B57BE" w:rsidP="009B5429">
      <w:pPr>
        <w:pStyle w:val="Table"/>
        <w:ind w:left="360"/>
        <w:jc w:val="center"/>
        <w:rPr>
          <w:lang w:val="en-US"/>
        </w:rPr>
      </w:pPr>
    </w:p>
    <w:p w:rsidR="005B57BE" w:rsidRDefault="005B57BE" w:rsidP="009B5429">
      <w:pPr>
        <w:pStyle w:val="Table"/>
        <w:ind w:left="360"/>
        <w:jc w:val="center"/>
        <w:rPr>
          <w:lang w:val="en-US"/>
        </w:rPr>
      </w:pPr>
    </w:p>
    <w:p w:rsidR="005B57BE" w:rsidRDefault="005B57BE" w:rsidP="009B5429">
      <w:pPr>
        <w:pStyle w:val="Table"/>
        <w:ind w:left="360"/>
        <w:jc w:val="center"/>
        <w:rPr>
          <w:lang w:val="en-US"/>
        </w:rPr>
      </w:pPr>
    </w:p>
    <w:p w:rsidR="005B57BE" w:rsidRDefault="005B57BE" w:rsidP="009B5429">
      <w:pPr>
        <w:pStyle w:val="Table"/>
        <w:ind w:left="360"/>
        <w:jc w:val="center"/>
        <w:rPr>
          <w:lang w:val="en-US"/>
        </w:rPr>
      </w:pPr>
    </w:p>
    <w:p w:rsidR="005B57BE" w:rsidRDefault="005B57BE" w:rsidP="009B5429">
      <w:pPr>
        <w:pStyle w:val="Table"/>
        <w:ind w:left="360"/>
        <w:jc w:val="center"/>
        <w:rPr>
          <w:lang w:val="en-US"/>
        </w:rPr>
      </w:pPr>
    </w:p>
    <w:p w:rsidR="005B57BE" w:rsidRDefault="005B57BE" w:rsidP="009B5429">
      <w:pPr>
        <w:pStyle w:val="Table"/>
        <w:ind w:left="360"/>
        <w:jc w:val="center"/>
        <w:rPr>
          <w:lang w:val="en-US"/>
        </w:rPr>
      </w:pPr>
    </w:p>
    <w:p w:rsidR="00224E06" w:rsidRDefault="00224E06" w:rsidP="009B5429">
      <w:pPr>
        <w:pStyle w:val="Table"/>
        <w:ind w:left="360"/>
        <w:jc w:val="center"/>
        <w:rPr>
          <w:lang w:val="en-US"/>
        </w:rPr>
      </w:pPr>
    </w:p>
    <w:p w:rsidR="00343417" w:rsidRPr="00F14CBA" w:rsidRDefault="00F14CBA" w:rsidP="009B5429">
      <w:pPr>
        <w:pStyle w:val="Caption"/>
        <w:keepNext/>
        <w:jc w:val="center"/>
        <w:rPr>
          <w:sz w:val="24"/>
          <w:szCs w:val="24"/>
          <w:lang w:val="en-US"/>
        </w:rPr>
      </w:pPr>
      <w:bookmarkStart w:id="64" w:name="_Toc458439264"/>
      <w:r w:rsidRPr="00F14CBA">
        <w:rPr>
          <w:sz w:val="24"/>
          <w:szCs w:val="24"/>
        </w:rPr>
        <w:t>Table</w:t>
      </w:r>
      <w:r w:rsidRPr="00F14CBA">
        <w:rPr>
          <w:sz w:val="24"/>
          <w:szCs w:val="24"/>
          <w:lang w:val="en-US"/>
        </w:rPr>
        <w:t>-</w:t>
      </w:r>
      <w:r w:rsidR="00343417" w:rsidRPr="00F14CBA">
        <w:rPr>
          <w:sz w:val="24"/>
          <w:szCs w:val="24"/>
        </w:rPr>
        <w:fldChar w:fldCharType="begin"/>
      </w:r>
      <w:r w:rsidR="00343417" w:rsidRPr="00F14CBA">
        <w:rPr>
          <w:sz w:val="24"/>
          <w:szCs w:val="24"/>
        </w:rPr>
        <w:instrText xml:space="preserve"> SEQ Table \* ARABIC </w:instrText>
      </w:r>
      <w:r w:rsidR="00343417" w:rsidRPr="00F14CBA">
        <w:rPr>
          <w:sz w:val="24"/>
          <w:szCs w:val="24"/>
        </w:rPr>
        <w:fldChar w:fldCharType="separate"/>
      </w:r>
      <w:r w:rsidR="005B57BE">
        <w:rPr>
          <w:noProof/>
          <w:sz w:val="24"/>
          <w:szCs w:val="24"/>
        </w:rPr>
        <w:t>10</w:t>
      </w:r>
      <w:r w:rsidR="00343417" w:rsidRPr="00F14CBA">
        <w:rPr>
          <w:sz w:val="24"/>
          <w:szCs w:val="24"/>
        </w:rPr>
        <w:fldChar w:fldCharType="end"/>
      </w:r>
      <w:r w:rsidRPr="00F14CBA">
        <w:rPr>
          <w:sz w:val="24"/>
          <w:szCs w:val="24"/>
          <w:lang w:val="en-US"/>
        </w:rPr>
        <w:t xml:space="preserve">: </w:t>
      </w:r>
      <w:r w:rsidR="00343417" w:rsidRPr="00F14CBA">
        <w:rPr>
          <w:sz w:val="24"/>
          <w:szCs w:val="24"/>
        </w:rPr>
        <w:t>Commercial Electric Full-Size Convection Oven Cost-Effectiveness Example</w:t>
      </w:r>
      <w:bookmarkEnd w:id="64"/>
    </w:p>
    <w:tbl>
      <w:tblPr>
        <w:tblW w:w="44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9"/>
        <w:gridCol w:w="2341"/>
        <w:gridCol w:w="2159"/>
      </w:tblGrid>
      <w:tr w:rsidR="003B67F8" w:rsidTr="001C4039">
        <w:trPr>
          <w:trHeight w:val="432"/>
          <w:jc w:val="center"/>
        </w:trPr>
        <w:tc>
          <w:tcPr>
            <w:tcW w:w="2374" w:type="pct"/>
            <w:tcBorders>
              <w:top w:val="single" w:sz="4" w:space="0" w:color="auto"/>
              <w:left w:val="single" w:sz="4" w:space="0" w:color="auto"/>
              <w:bottom w:val="single" w:sz="4" w:space="0" w:color="auto"/>
              <w:right w:val="single" w:sz="4" w:space="0" w:color="auto"/>
            </w:tcBorders>
            <w:vAlign w:val="center"/>
          </w:tcPr>
          <w:bookmarkEnd w:id="61"/>
          <w:p w:rsidR="003B67F8" w:rsidRDefault="003B67F8" w:rsidP="001C4039">
            <w:pPr>
              <w:rPr>
                <w:rFonts w:ascii="Arial" w:hAnsi="Arial" w:cs="Arial"/>
                <w:b/>
                <w:bCs/>
              </w:rPr>
            </w:pPr>
            <w:r>
              <w:rPr>
                <w:rFonts w:ascii="Arial" w:hAnsi="Arial" w:cs="Arial"/>
                <w:b/>
                <w:bCs/>
              </w:rPr>
              <w:t>Performance</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b/>
                <w:bCs/>
              </w:rPr>
            </w:pPr>
            <w:r>
              <w:rPr>
                <w:rFonts w:ascii="Arial" w:hAnsi="Arial" w:cs="Arial"/>
                <w:b/>
                <w:bCs/>
              </w:rPr>
              <w:t>Baseline Model</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b/>
                <w:bCs/>
              </w:rPr>
            </w:pPr>
            <w:r>
              <w:rPr>
                <w:rFonts w:ascii="Arial" w:hAnsi="Arial" w:cs="Arial"/>
                <w:b/>
                <w:bCs/>
              </w:rPr>
              <w:t>Energy Efficient Model</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Preheat Energy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1.50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1.00</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Idle Energy Rate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2.00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1.40</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Heavy Load Cooking Energy Efficiency (%)</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8A098A" w:rsidP="001C4039">
            <w:pPr>
              <w:jc w:val="center"/>
              <w:rPr>
                <w:rFonts w:ascii="Arial" w:hAnsi="Arial" w:cs="Arial"/>
                <w:sz w:val="20"/>
                <w:szCs w:val="20"/>
              </w:rPr>
            </w:pPr>
            <w:r>
              <w:rPr>
                <w:rFonts w:ascii="Arial" w:hAnsi="Arial" w:cs="Arial"/>
                <w:sz w:val="20"/>
                <w:szCs w:val="20"/>
              </w:rPr>
              <w:t>65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8A098A" w:rsidP="001C4039">
            <w:pPr>
              <w:jc w:val="center"/>
              <w:rPr>
                <w:rFonts w:ascii="Arial" w:hAnsi="Arial" w:cs="Arial"/>
                <w:sz w:val="20"/>
                <w:szCs w:val="20"/>
              </w:rPr>
            </w:pPr>
            <w:r>
              <w:rPr>
                <w:rFonts w:ascii="Arial" w:hAnsi="Arial" w:cs="Arial"/>
                <w:sz w:val="20"/>
                <w:szCs w:val="20"/>
              </w:rPr>
              <w:t>73</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Production Capacity (lbs/hr)</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70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82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Operating Hours/Day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Operating Days/Year</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365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365</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Number of Preheats per 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Pounds of Food Cooked per 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100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100</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ASTM Energy to Food (kWh/lb)</w:t>
            </w:r>
            <w:r w:rsidR="00B33D54" w:rsidRPr="00B33D54">
              <w:rPr>
                <w:rFonts w:ascii="Arial" w:hAnsi="Arial" w:cs="Arial"/>
                <w:sz w:val="20"/>
                <w:szCs w:val="20"/>
                <w:vertAlign w:val="superscript"/>
              </w:rPr>
              <w:t>a</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0.0732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0.0732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Daily Energy Consumption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C6129E" w:rsidRDefault="003B67F8" w:rsidP="001C4039">
            <w:pPr>
              <w:jc w:val="center"/>
              <w:rPr>
                <w:rFonts w:ascii="Arial" w:hAnsi="Arial" w:cs="Arial"/>
                <w:sz w:val="20"/>
                <w:szCs w:val="20"/>
              </w:rPr>
            </w:pPr>
            <w:r w:rsidRPr="00C6129E">
              <w:rPr>
                <w:rFonts w:ascii="Arial" w:hAnsi="Arial" w:cs="Arial"/>
                <w:sz w:val="20"/>
                <w:szCs w:val="20"/>
              </w:rPr>
              <w:t>33.4</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C6129E" w:rsidRDefault="003B67F8" w:rsidP="001C4039">
            <w:pPr>
              <w:jc w:val="center"/>
              <w:rPr>
                <w:rFonts w:ascii="Arial" w:hAnsi="Arial" w:cs="Arial"/>
                <w:sz w:val="20"/>
                <w:szCs w:val="20"/>
              </w:rPr>
            </w:pPr>
            <w:r w:rsidRPr="00C6129E">
              <w:rPr>
                <w:rFonts w:ascii="Arial" w:hAnsi="Arial" w:cs="Arial"/>
                <w:sz w:val="20"/>
                <w:szCs w:val="20"/>
              </w:rPr>
              <w:t>25.8</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Average Demand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2.8</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B33D54" w:rsidP="001C4039">
            <w:pPr>
              <w:jc w:val="center"/>
              <w:rPr>
                <w:rFonts w:ascii="Arial" w:hAnsi="Arial" w:cs="Arial"/>
                <w:sz w:val="20"/>
                <w:szCs w:val="20"/>
              </w:rPr>
            </w:pPr>
            <w:r>
              <w:rPr>
                <w:rFonts w:ascii="Arial" w:hAnsi="Arial" w:cs="Arial"/>
                <w:sz w:val="20"/>
                <w:szCs w:val="20"/>
              </w:rPr>
              <w:t>2.1</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Demand Reduction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B33D54">
            <w:pPr>
              <w:jc w:val="center"/>
              <w:rPr>
                <w:rFonts w:ascii="Arial" w:hAnsi="Arial" w:cs="Arial"/>
                <w:sz w:val="20"/>
                <w:szCs w:val="20"/>
              </w:rPr>
            </w:pPr>
            <w:r>
              <w:rPr>
                <w:rFonts w:ascii="Arial" w:hAnsi="Arial" w:cs="Arial"/>
                <w:sz w:val="20"/>
                <w:szCs w:val="20"/>
              </w:rPr>
              <w:t>0.</w:t>
            </w:r>
            <w:r w:rsidR="00B33D54">
              <w:rPr>
                <w:rFonts w:ascii="Arial" w:hAnsi="Arial" w:cs="Arial"/>
                <w:sz w:val="20"/>
                <w:szCs w:val="20"/>
              </w:rPr>
              <w:t>7</w:t>
            </w:r>
          </w:p>
        </w:tc>
      </w:tr>
      <w:tr w:rsidR="0025359F" w:rsidTr="0084317F">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25359F" w:rsidRDefault="0025359F" w:rsidP="0084317F">
            <w:pPr>
              <w:rPr>
                <w:rFonts w:ascii="Arial" w:hAnsi="Arial" w:cs="Arial"/>
                <w:sz w:val="20"/>
                <w:szCs w:val="20"/>
              </w:rPr>
            </w:pPr>
            <w:r>
              <w:rPr>
                <w:rFonts w:ascii="Arial" w:hAnsi="Arial" w:cs="Arial"/>
                <w:sz w:val="20"/>
                <w:szCs w:val="20"/>
              </w:rPr>
              <w:t>Actual Demand Reduction with CDF of 0.9 (kW)</w:t>
            </w:r>
          </w:p>
        </w:tc>
        <w:tc>
          <w:tcPr>
            <w:tcW w:w="1366" w:type="pct"/>
            <w:tcBorders>
              <w:top w:val="single" w:sz="4" w:space="0" w:color="auto"/>
              <w:left w:val="single" w:sz="4" w:space="0" w:color="auto"/>
              <w:bottom w:val="single" w:sz="4" w:space="0" w:color="auto"/>
              <w:right w:val="single" w:sz="4" w:space="0" w:color="auto"/>
            </w:tcBorders>
            <w:vAlign w:val="center"/>
          </w:tcPr>
          <w:p w:rsidR="0025359F" w:rsidRDefault="0025359F" w:rsidP="0084317F">
            <w:pPr>
              <w:jc w:val="center"/>
              <w:rPr>
                <w:rFonts w:ascii="Arial" w:hAnsi="Arial" w:cs="Arial"/>
                <w:sz w:val="20"/>
                <w:szCs w:val="20"/>
              </w:rPr>
            </w:pPr>
            <w:r>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25359F" w:rsidRPr="0025359F" w:rsidRDefault="0025359F" w:rsidP="00B33D54">
            <w:pPr>
              <w:jc w:val="center"/>
              <w:rPr>
                <w:rFonts w:ascii="Arial" w:hAnsi="Arial" w:cs="Arial"/>
                <w:b/>
                <w:sz w:val="20"/>
                <w:szCs w:val="20"/>
              </w:rPr>
            </w:pPr>
            <w:r w:rsidRPr="0025359F">
              <w:rPr>
                <w:rFonts w:ascii="Arial" w:hAnsi="Arial" w:cs="Arial"/>
                <w:b/>
                <w:sz w:val="20"/>
                <w:szCs w:val="20"/>
              </w:rPr>
              <w:t>0.</w:t>
            </w:r>
            <w:r w:rsidR="00B33D54">
              <w:rPr>
                <w:rFonts w:ascii="Arial" w:hAnsi="Arial" w:cs="Arial"/>
                <w:b/>
                <w:sz w:val="20"/>
                <w:szCs w:val="20"/>
              </w:rPr>
              <w:t>63</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Annual Energy Consumption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B33D54" w:rsidP="001C4039">
            <w:pPr>
              <w:jc w:val="center"/>
              <w:rPr>
                <w:rFonts w:ascii="Arial" w:hAnsi="Arial" w:cs="Arial"/>
                <w:sz w:val="20"/>
                <w:szCs w:val="20"/>
              </w:rPr>
            </w:pPr>
            <w:r>
              <w:rPr>
                <w:rFonts w:ascii="Arial" w:hAnsi="Arial" w:cs="Arial"/>
                <w:sz w:val="20"/>
                <w:szCs w:val="20"/>
              </w:rPr>
              <w:t>12,193</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B33D54">
            <w:pPr>
              <w:jc w:val="center"/>
              <w:rPr>
                <w:rFonts w:ascii="Arial" w:hAnsi="Arial" w:cs="Arial"/>
                <w:sz w:val="20"/>
                <w:szCs w:val="20"/>
              </w:rPr>
            </w:pPr>
            <w:r>
              <w:rPr>
                <w:rFonts w:ascii="Arial" w:hAnsi="Arial" w:cs="Arial"/>
                <w:sz w:val="20"/>
                <w:szCs w:val="20"/>
              </w:rPr>
              <w:t>9,4</w:t>
            </w:r>
            <w:r w:rsidR="00B33D54">
              <w:rPr>
                <w:rFonts w:ascii="Arial" w:hAnsi="Arial" w:cs="Arial"/>
                <w:sz w:val="20"/>
                <w:szCs w:val="20"/>
              </w:rPr>
              <w:t>06</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Energy Savings (kWh/yr)</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B22CF" w:rsidRDefault="003B67F8" w:rsidP="00B33D54">
            <w:pPr>
              <w:jc w:val="center"/>
              <w:rPr>
                <w:rFonts w:ascii="Arial" w:hAnsi="Arial" w:cs="Arial"/>
                <w:b/>
                <w:sz w:val="20"/>
                <w:szCs w:val="20"/>
              </w:rPr>
            </w:pPr>
            <w:r w:rsidRPr="004B22CF">
              <w:rPr>
                <w:rFonts w:ascii="Arial" w:hAnsi="Arial" w:cs="Arial"/>
                <w:b/>
                <w:sz w:val="20"/>
                <w:szCs w:val="20"/>
              </w:rPr>
              <w:t>2,7</w:t>
            </w:r>
            <w:r w:rsidR="00B33D54">
              <w:rPr>
                <w:rFonts w:ascii="Arial" w:hAnsi="Arial" w:cs="Arial"/>
                <w:b/>
                <w:sz w:val="20"/>
                <w:szCs w:val="20"/>
              </w:rPr>
              <w:t>87</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Useful Life (EUL)</w:t>
            </w:r>
            <w:r>
              <w:rPr>
                <w:rFonts w:ascii="Arial" w:hAnsi="Arial" w:cs="Arial"/>
                <w:sz w:val="20"/>
                <w:szCs w:val="20"/>
                <w:vertAlign w:val="superscript"/>
              </w:rPr>
              <w:t>b</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r>
    </w:tbl>
    <w:p w:rsidR="00B33D54" w:rsidRPr="00A4002B" w:rsidRDefault="006716BC" w:rsidP="00B33D54">
      <w:pPr>
        <w:pStyle w:val="BodyText"/>
        <w:rPr>
          <w:lang w:val="en-US"/>
        </w:rPr>
      </w:pPr>
      <w:r w:rsidRPr="00A4002B">
        <w:rPr>
          <w:vertAlign w:val="superscript"/>
          <w:lang w:val="en-US"/>
        </w:rPr>
        <w:t xml:space="preserve">            </w:t>
      </w:r>
      <w:r w:rsidRPr="00A4002B">
        <w:rPr>
          <w:vertAlign w:val="subscript"/>
          <w:lang w:val="en-US"/>
        </w:rPr>
        <w:t xml:space="preserve"> a </w:t>
      </w:r>
      <w:r w:rsidRPr="00A4002B">
        <w:rPr>
          <w:lang w:val="en-US"/>
        </w:rPr>
        <w:t xml:space="preserve">   </w:t>
      </w:r>
      <w:r w:rsidRPr="00A4002B">
        <w:t xml:space="preserve">This is the average value calculated by FSTC through ASTM F1496 test through weight and temperature </w:t>
      </w:r>
      <w:r w:rsidRPr="00A4002B">
        <w:tab/>
        <w:t xml:space="preserve">measurement of test product cooked in convection ovens (250 Btu/lb for russet potato); </w:t>
      </w:r>
      <w:r w:rsidR="00A4002B">
        <w:rPr>
          <w:lang w:val="en-US"/>
        </w:rPr>
        <w:t xml:space="preserve">250/3412=0.0732 </w:t>
      </w:r>
      <w:r w:rsidRPr="00A4002B">
        <w:rPr>
          <w:lang w:val="en-US"/>
        </w:rPr>
        <w:t>kWh/lb)</w:t>
      </w:r>
      <w:r w:rsidRPr="00A4002B">
        <w:t xml:space="preserve">  </w:t>
      </w:r>
      <w:r w:rsidR="00A4002B">
        <w:rPr>
          <w:lang w:val="en-US"/>
        </w:rPr>
        <w:tab/>
      </w:r>
      <w:hyperlink r:id="rId19" w:history="1">
        <w:r w:rsidRPr="00A4002B">
          <w:rPr>
            <w:rStyle w:val="Hyperlink"/>
          </w:rPr>
          <w:t>http://www.fishnick.com/publications/appliancereports/convectionovens/</w:t>
        </w:r>
      </w:hyperlink>
    </w:p>
    <w:p w:rsidR="003B67F8" w:rsidRPr="00A4002B" w:rsidRDefault="00B33D54" w:rsidP="00B33D54">
      <w:pPr>
        <w:pStyle w:val="BodyText"/>
        <w:rPr>
          <w:lang w:val="en-US"/>
        </w:rPr>
      </w:pPr>
      <w:r w:rsidRPr="00A4002B">
        <w:rPr>
          <w:lang w:val="en-US"/>
        </w:rPr>
        <w:t xml:space="preserve">        </w:t>
      </w:r>
      <w:r w:rsidRPr="00A4002B">
        <w:rPr>
          <w:vertAlign w:val="subscript"/>
          <w:lang w:val="en-US"/>
        </w:rPr>
        <w:t xml:space="preserve">b </w:t>
      </w:r>
      <w:r w:rsidRPr="00A4002B">
        <w:rPr>
          <w:lang w:val="en-US"/>
        </w:rPr>
        <w:t xml:space="preserve">   The estimated useful life is based on DEER EUL estimates.</w:t>
      </w:r>
    </w:p>
    <w:p w:rsidR="003B67F8" w:rsidRDefault="003B67F8" w:rsidP="003B67F8">
      <w:pPr>
        <w:rPr>
          <w:rFonts w:ascii="Arial" w:hAnsi="Arial" w:cs="Arial"/>
          <w:vertAlign w:val="superscript"/>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B33D54" w:rsidRDefault="00B33D54" w:rsidP="00B33D54">
      <w:pPr>
        <w:rPr>
          <w:lang w:eastAsia="x-none"/>
        </w:rPr>
      </w:pPr>
    </w:p>
    <w:p w:rsidR="00343417" w:rsidRPr="00857D4E" w:rsidRDefault="00343417" w:rsidP="009B5429">
      <w:pPr>
        <w:pStyle w:val="Caption"/>
        <w:keepNext/>
        <w:jc w:val="center"/>
        <w:rPr>
          <w:sz w:val="24"/>
          <w:szCs w:val="24"/>
          <w:lang w:val="en-US"/>
        </w:rPr>
      </w:pPr>
      <w:bookmarkStart w:id="65" w:name="_Toc458439265"/>
      <w:r w:rsidRPr="00920927">
        <w:rPr>
          <w:sz w:val="24"/>
          <w:szCs w:val="24"/>
        </w:rPr>
        <w:lastRenderedPageBreak/>
        <w:t>Table</w:t>
      </w:r>
      <w:r w:rsidR="00857D4E" w:rsidRPr="00920927">
        <w:rPr>
          <w:sz w:val="24"/>
          <w:szCs w:val="24"/>
          <w:lang w:val="en-US"/>
        </w:rPr>
        <w:t>-</w:t>
      </w:r>
      <w:r w:rsidRPr="00920927">
        <w:rPr>
          <w:sz w:val="24"/>
          <w:szCs w:val="24"/>
        </w:rPr>
        <w:fldChar w:fldCharType="begin"/>
      </w:r>
      <w:r w:rsidRPr="00920927">
        <w:rPr>
          <w:sz w:val="24"/>
          <w:szCs w:val="24"/>
        </w:rPr>
        <w:instrText xml:space="preserve"> SEQ Table \* ARABIC </w:instrText>
      </w:r>
      <w:r w:rsidRPr="00920927">
        <w:rPr>
          <w:sz w:val="24"/>
          <w:szCs w:val="24"/>
        </w:rPr>
        <w:fldChar w:fldCharType="separate"/>
      </w:r>
      <w:r w:rsidR="005B57BE">
        <w:rPr>
          <w:noProof/>
          <w:sz w:val="24"/>
          <w:szCs w:val="24"/>
        </w:rPr>
        <w:t>11</w:t>
      </w:r>
      <w:r w:rsidRPr="00920927">
        <w:rPr>
          <w:sz w:val="24"/>
          <w:szCs w:val="24"/>
        </w:rPr>
        <w:fldChar w:fldCharType="end"/>
      </w:r>
      <w:r w:rsidR="00857D4E" w:rsidRPr="00920927">
        <w:rPr>
          <w:sz w:val="24"/>
          <w:szCs w:val="24"/>
          <w:lang w:val="en-US"/>
        </w:rPr>
        <w:t xml:space="preserve">: </w:t>
      </w:r>
      <w:r w:rsidRPr="00920927">
        <w:rPr>
          <w:sz w:val="24"/>
          <w:szCs w:val="24"/>
        </w:rPr>
        <w:t>Commercial Electric Large Full-Size Convection Oven Cost-Effectiveness Example</w:t>
      </w:r>
      <w:bookmarkEnd w:id="65"/>
    </w:p>
    <w:tbl>
      <w:tblPr>
        <w:tblW w:w="44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9"/>
        <w:gridCol w:w="2341"/>
        <w:gridCol w:w="2159"/>
      </w:tblGrid>
      <w:tr w:rsidR="003B67F8" w:rsidTr="001C4039">
        <w:trPr>
          <w:trHeight w:val="432"/>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b/>
                <w:bCs/>
              </w:rPr>
            </w:pPr>
            <w:r>
              <w:rPr>
                <w:rFonts w:ascii="Arial" w:hAnsi="Arial" w:cs="Arial"/>
                <w:b/>
                <w:bCs/>
              </w:rPr>
              <w:t>Performance</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b/>
                <w:bCs/>
              </w:rPr>
            </w:pPr>
            <w:r>
              <w:rPr>
                <w:rFonts w:ascii="Arial" w:hAnsi="Arial" w:cs="Arial"/>
                <w:b/>
                <w:bCs/>
              </w:rPr>
              <w:t>Baseline Model</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b/>
                <w:bCs/>
              </w:rPr>
            </w:pPr>
            <w:r>
              <w:rPr>
                <w:rFonts w:ascii="Arial" w:hAnsi="Arial" w:cs="Arial"/>
                <w:b/>
                <w:bCs/>
              </w:rPr>
              <w:t>Energy Efficient Model</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Preheat Energy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1.70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1.20</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Idle Energy Rate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2.50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1.73</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Heavy Load Cooking Energy Efficiency (%)</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65%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76%</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Production Capacity (lbs/hr)</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100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137</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Operating Hours/Day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Operating Days/Year</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365</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365</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Number of Preheats per 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Pounds of Food Cooked per Day</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100</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100</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ASTM Energy to Food (kWh/lb)</w:t>
            </w:r>
            <w:r w:rsidR="00253623" w:rsidRPr="00253623">
              <w:rPr>
                <w:rFonts w:ascii="Arial" w:hAnsi="Arial" w:cs="Arial"/>
                <w:sz w:val="20"/>
                <w:szCs w:val="20"/>
                <w:vertAlign w:val="superscript"/>
              </w:rPr>
              <w:t>a</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0.0732</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0.0732</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Daily Energy Consumption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39.8</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29.9</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Average Demand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3.3</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2.5</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Demand Reduction (kW)</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25359F">
            <w:pPr>
              <w:jc w:val="center"/>
              <w:rPr>
                <w:rFonts w:ascii="Arial" w:hAnsi="Arial" w:cs="Arial"/>
                <w:sz w:val="20"/>
                <w:szCs w:val="20"/>
              </w:rPr>
            </w:pPr>
            <w:r w:rsidRPr="004941F0">
              <w:rPr>
                <w:rFonts w:ascii="Arial" w:hAnsi="Arial" w:cs="Arial"/>
                <w:sz w:val="20"/>
                <w:szCs w:val="20"/>
              </w:rPr>
              <w:t>0.</w:t>
            </w:r>
            <w:r w:rsidR="0025359F" w:rsidRPr="004941F0">
              <w:rPr>
                <w:rFonts w:ascii="Arial" w:hAnsi="Arial" w:cs="Arial"/>
                <w:sz w:val="20"/>
                <w:szCs w:val="20"/>
              </w:rPr>
              <w:t>83</w:t>
            </w:r>
          </w:p>
        </w:tc>
      </w:tr>
      <w:tr w:rsidR="0025359F" w:rsidTr="0084317F">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25359F" w:rsidRDefault="0025359F" w:rsidP="0084317F">
            <w:pPr>
              <w:rPr>
                <w:rFonts w:ascii="Arial" w:hAnsi="Arial" w:cs="Arial"/>
                <w:sz w:val="20"/>
                <w:szCs w:val="20"/>
              </w:rPr>
            </w:pPr>
            <w:r>
              <w:rPr>
                <w:rFonts w:ascii="Arial" w:hAnsi="Arial" w:cs="Arial"/>
                <w:sz w:val="20"/>
                <w:szCs w:val="20"/>
              </w:rPr>
              <w:t>Actual Demand Reduction with CDF of 0.9 (kW)</w:t>
            </w:r>
          </w:p>
        </w:tc>
        <w:tc>
          <w:tcPr>
            <w:tcW w:w="1366" w:type="pct"/>
            <w:tcBorders>
              <w:top w:val="single" w:sz="4" w:space="0" w:color="auto"/>
              <w:left w:val="single" w:sz="4" w:space="0" w:color="auto"/>
              <w:bottom w:val="single" w:sz="4" w:space="0" w:color="auto"/>
              <w:right w:val="single" w:sz="4" w:space="0" w:color="auto"/>
            </w:tcBorders>
            <w:vAlign w:val="center"/>
          </w:tcPr>
          <w:p w:rsidR="0025359F" w:rsidRPr="004941F0" w:rsidRDefault="0025359F" w:rsidP="0084317F">
            <w:pPr>
              <w:jc w:val="center"/>
              <w:rPr>
                <w:rFonts w:ascii="Arial" w:hAnsi="Arial" w:cs="Arial"/>
                <w:sz w:val="20"/>
                <w:szCs w:val="20"/>
              </w:rPr>
            </w:pPr>
            <w:r w:rsidRPr="004941F0">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25359F" w:rsidRPr="004941F0" w:rsidRDefault="0025359F" w:rsidP="009E14B4">
            <w:pPr>
              <w:jc w:val="center"/>
              <w:rPr>
                <w:rFonts w:ascii="Arial" w:hAnsi="Arial" w:cs="Arial"/>
                <w:b/>
                <w:sz w:val="20"/>
                <w:szCs w:val="20"/>
              </w:rPr>
            </w:pPr>
            <w:r w:rsidRPr="004941F0">
              <w:rPr>
                <w:rFonts w:ascii="Arial" w:hAnsi="Arial" w:cs="Arial"/>
                <w:b/>
                <w:sz w:val="20"/>
                <w:szCs w:val="20"/>
              </w:rPr>
              <w:t>0.7</w:t>
            </w:r>
            <w:r w:rsidR="009E14B4">
              <w:rPr>
                <w:rFonts w:ascii="Arial" w:hAnsi="Arial" w:cs="Arial"/>
                <w:b/>
                <w:sz w:val="20"/>
                <w:szCs w:val="20"/>
              </w:rPr>
              <w:t>47</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Annual Energy Consumption (kWh)</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14,527</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10,914</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Energy Savings (kWh/yr)</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sz w:val="20"/>
                <w:szCs w:val="20"/>
              </w:rPr>
            </w:pPr>
            <w:r w:rsidRPr="004941F0">
              <w:rPr>
                <w:rFonts w:ascii="Arial" w:hAnsi="Arial" w:cs="Arial"/>
                <w:sz w:val="20"/>
                <w:szCs w:val="20"/>
              </w:rPr>
              <w:t>-</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Pr="004941F0" w:rsidRDefault="003B67F8" w:rsidP="001C4039">
            <w:pPr>
              <w:jc w:val="center"/>
              <w:rPr>
                <w:rFonts w:ascii="Arial" w:hAnsi="Arial" w:cs="Arial"/>
                <w:b/>
                <w:sz w:val="20"/>
                <w:szCs w:val="20"/>
              </w:rPr>
            </w:pPr>
            <w:r w:rsidRPr="004941F0">
              <w:rPr>
                <w:rFonts w:ascii="Arial" w:hAnsi="Arial" w:cs="Arial"/>
                <w:b/>
                <w:sz w:val="20"/>
                <w:szCs w:val="20"/>
              </w:rPr>
              <w:t>3,613</w:t>
            </w:r>
          </w:p>
        </w:tc>
      </w:tr>
      <w:tr w:rsidR="003B67F8" w:rsidTr="001C4039">
        <w:trPr>
          <w:trHeight w:hRule="exact" w:val="288"/>
          <w:jc w:val="center"/>
        </w:trPr>
        <w:tc>
          <w:tcPr>
            <w:tcW w:w="2374"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rPr>
                <w:rFonts w:ascii="Arial" w:hAnsi="Arial" w:cs="Arial"/>
                <w:sz w:val="20"/>
                <w:szCs w:val="20"/>
              </w:rPr>
            </w:pPr>
            <w:r>
              <w:rPr>
                <w:rFonts w:ascii="Arial" w:hAnsi="Arial" w:cs="Arial"/>
                <w:sz w:val="20"/>
                <w:szCs w:val="20"/>
              </w:rPr>
              <w:t>Estimated Useful Life (EUL)</w:t>
            </w:r>
            <w:r>
              <w:rPr>
                <w:rFonts w:ascii="Arial" w:hAnsi="Arial" w:cs="Arial"/>
                <w:sz w:val="20"/>
                <w:szCs w:val="20"/>
                <w:vertAlign w:val="superscript"/>
              </w:rPr>
              <w:t>b</w:t>
            </w:r>
          </w:p>
        </w:tc>
        <w:tc>
          <w:tcPr>
            <w:tcW w:w="1366"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c>
          <w:tcPr>
            <w:tcW w:w="1260" w:type="pct"/>
            <w:tcBorders>
              <w:top w:val="single" w:sz="4" w:space="0" w:color="auto"/>
              <w:left w:val="single" w:sz="4" w:space="0" w:color="auto"/>
              <w:bottom w:val="single" w:sz="4" w:space="0" w:color="auto"/>
              <w:right w:val="single" w:sz="4" w:space="0" w:color="auto"/>
            </w:tcBorders>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r>
    </w:tbl>
    <w:p w:rsidR="00253623" w:rsidRPr="00A4002B" w:rsidRDefault="006716BC" w:rsidP="00253623">
      <w:pPr>
        <w:pStyle w:val="BodyText"/>
        <w:rPr>
          <w:lang w:val="en-US"/>
        </w:rPr>
      </w:pPr>
      <w:r>
        <w:rPr>
          <w:sz w:val="20"/>
          <w:szCs w:val="20"/>
          <w:vertAlign w:val="superscript"/>
          <w:lang w:val="en-US"/>
        </w:rPr>
        <w:t xml:space="preserve">        </w:t>
      </w:r>
      <w:r w:rsidRPr="00A4002B">
        <w:rPr>
          <w:vertAlign w:val="superscript"/>
          <w:lang w:val="en-US"/>
        </w:rPr>
        <w:t xml:space="preserve">    </w:t>
      </w:r>
      <w:r w:rsidRPr="00A4002B">
        <w:rPr>
          <w:vertAlign w:val="subscript"/>
          <w:lang w:val="en-US"/>
        </w:rPr>
        <w:t xml:space="preserve"> a </w:t>
      </w:r>
      <w:r w:rsidRPr="00A4002B">
        <w:rPr>
          <w:lang w:val="en-US"/>
        </w:rPr>
        <w:t xml:space="preserve">   </w:t>
      </w:r>
      <w:r w:rsidRPr="00A4002B">
        <w:t xml:space="preserve">This is the average value calculated by FSTC through ASTM F1496 test through weight and temperature </w:t>
      </w:r>
      <w:r w:rsidRPr="00A4002B">
        <w:tab/>
        <w:t xml:space="preserve">measurement of test product cooked in convection ovens (250 Btu/lb for russet potato); </w:t>
      </w:r>
      <w:r w:rsidR="00124049">
        <w:rPr>
          <w:lang w:val="en-US"/>
        </w:rPr>
        <w:t xml:space="preserve">250/3412=0.0732 </w:t>
      </w:r>
      <w:r w:rsidRPr="00A4002B">
        <w:rPr>
          <w:lang w:val="en-US"/>
        </w:rPr>
        <w:t>kWh/lb)</w:t>
      </w:r>
      <w:r w:rsidRPr="00A4002B">
        <w:t xml:space="preserve">  </w:t>
      </w:r>
      <w:r w:rsidR="00124049">
        <w:rPr>
          <w:lang w:val="en-US"/>
        </w:rPr>
        <w:tab/>
      </w:r>
      <w:hyperlink r:id="rId20" w:history="1">
        <w:r w:rsidRPr="00A4002B">
          <w:rPr>
            <w:rStyle w:val="Hyperlink"/>
          </w:rPr>
          <w:t>http://www.fishnick.com/publications/appliancereports/convectionovens/</w:t>
        </w:r>
      </w:hyperlink>
    </w:p>
    <w:p w:rsidR="003B67F8" w:rsidRPr="00B26A8B" w:rsidRDefault="00253623" w:rsidP="00253623">
      <w:pPr>
        <w:pStyle w:val="BodyText"/>
        <w:rPr>
          <w:lang w:val="en-US"/>
        </w:rPr>
      </w:pPr>
      <w:r w:rsidRPr="00A4002B">
        <w:rPr>
          <w:lang w:val="en-US"/>
        </w:rPr>
        <w:t xml:space="preserve">        </w:t>
      </w:r>
      <w:r w:rsidRPr="00A4002B">
        <w:rPr>
          <w:vertAlign w:val="subscript"/>
          <w:lang w:val="en-US"/>
        </w:rPr>
        <w:t xml:space="preserve">b </w:t>
      </w:r>
      <w:r w:rsidRPr="00A4002B">
        <w:rPr>
          <w:lang w:val="en-US"/>
        </w:rPr>
        <w:t xml:space="preserve">   The estimated useful life is based on DEER EUL estimates.</w:t>
      </w:r>
      <w:r w:rsidRPr="00A4002B">
        <w:t>.</w:t>
      </w:r>
    </w:p>
    <w:p w:rsidR="003B67F8" w:rsidRDefault="003B67F8" w:rsidP="003B67F8">
      <w:pPr>
        <w:rPr>
          <w:rFonts w:ascii="Arial" w:hAnsi="Arial" w:cs="Arial"/>
          <w:b/>
          <w:sz w:val="16"/>
          <w:szCs w:val="16"/>
        </w:rPr>
      </w:pPr>
    </w:p>
    <w:p w:rsidR="00B26A8B" w:rsidRPr="00157363" w:rsidRDefault="00B26A8B" w:rsidP="00B26A8B">
      <w:pPr>
        <w:spacing w:before="120" w:after="120"/>
        <w:rPr>
          <w:rFonts w:ascii="Arial" w:hAnsi="Arial" w:cs="Arial"/>
          <w:b/>
          <w:i/>
        </w:rPr>
      </w:pPr>
      <w:r w:rsidRPr="00157363">
        <w:rPr>
          <w:b/>
          <w:lang w:val="x-none" w:eastAsia="x-none"/>
        </w:rPr>
        <w:t>Daily Energy Consumption Calculation and Definitions</w:t>
      </w:r>
    </w:p>
    <w:p w:rsidR="00B26A8B" w:rsidRPr="00456436" w:rsidRDefault="00456436" w:rsidP="00B26A8B">
      <w:pPr>
        <w:spacing w:before="120" w:after="120"/>
        <w:rPr>
          <w:rFonts w:ascii="Arial" w:hAnsi="Arial" w:cs="Arial"/>
          <w:b/>
          <w:i/>
          <w:sz w:val="18"/>
          <w:szCs w:val="18"/>
        </w:rPr>
      </w:pPr>
      <m:oMathPara>
        <m:oMathParaPr>
          <m:jc m:val="left"/>
        </m:oMathParaPr>
        <m:oMath>
          <m:r>
            <m:rPr>
              <m:sty m:val="bi"/>
            </m:rPr>
            <w:rPr>
              <w:rFonts w:ascii="Cambria Math" w:hAnsi="Cambria Math"/>
              <w:sz w:val="18"/>
              <w:szCs w:val="18"/>
              <w:lang w:val="x-none" w:eastAsia="x-none"/>
            </w:rPr>
            <m:t xml:space="preserve">EDAY=convection cooking energy+ convection idle energy+preheat energy </m:t>
          </m:r>
        </m:oMath>
      </m:oMathPara>
    </w:p>
    <w:p w:rsidR="00B26A8B" w:rsidRPr="001D77D9" w:rsidRDefault="00B26A8B" w:rsidP="00B26A8B">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convection 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LBFOOD ×</m:t>
                  </m:r>
                  <m:sSub>
                    <m:sSubPr>
                      <m:ctrlPr>
                        <w:rPr>
                          <w:rFonts w:ascii="Cambria Math" w:hAnsi="Cambria Math" w:cs="Arial"/>
                          <w:b/>
                          <w:i/>
                          <w:sz w:val="18"/>
                          <w:szCs w:val="18"/>
                        </w:rPr>
                      </m:ctrlPr>
                    </m:sSubPr>
                    <m:e>
                      <m:r>
                        <m:rPr>
                          <m:sty m:val="bi"/>
                        </m:rPr>
                        <w:rPr>
                          <w:rFonts w:ascii="Cambria Math" w:hAnsi="Cambria Math" w:cs="Arial"/>
                          <w:sz w:val="18"/>
                          <w:szCs w:val="18"/>
                        </w:rPr>
                        <m:t>EFOOD</m:t>
                      </m:r>
                    </m:e>
                    <m:sub>
                      <m:r>
                        <m:rPr>
                          <m:sty m:val="bi"/>
                        </m:rPr>
                        <w:rPr>
                          <w:rFonts w:ascii="Cambria Math" w:hAnsi="Cambria Math" w:cs="Arial"/>
                          <w:sz w:val="18"/>
                          <w:szCs w:val="18"/>
                        </w:rPr>
                        <m:t>convection</m:t>
                      </m:r>
                    </m:sub>
                  </m:sSub>
                </m:num>
                <m:den>
                  <m:f>
                    <m:fPr>
                      <m:ctrlPr>
                        <w:rPr>
                          <w:rFonts w:ascii="Cambria Math" w:hAnsi="Cambria Math" w:cs="Arial"/>
                          <w:b/>
                          <w:i/>
                          <w:sz w:val="18"/>
                          <w:szCs w:val="18"/>
                        </w:rPr>
                      </m:ctrlPr>
                    </m:fPr>
                    <m:num>
                      <m:sSub>
                        <m:sSubPr>
                          <m:ctrlPr>
                            <w:rPr>
                              <w:rFonts w:ascii="Cambria Math" w:hAnsi="Cambria Math" w:cs="Arial"/>
                              <w:b/>
                              <w:i/>
                              <w:sz w:val="18"/>
                              <w:szCs w:val="18"/>
                            </w:rPr>
                          </m:ctrlPr>
                        </m:sSubPr>
                        <m:e>
                          <m:r>
                            <m:rPr>
                              <m:sty m:val="bi"/>
                            </m:rPr>
                            <w:rPr>
                              <w:rFonts w:ascii="Cambria Math" w:hAnsi="Cambria Math" w:cs="Arial"/>
                              <w:sz w:val="18"/>
                              <w:szCs w:val="18"/>
                            </w:rPr>
                            <m:t>EFFICIENCY</m:t>
                          </m:r>
                        </m:e>
                        <m:sub>
                          <m:r>
                            <m:rPr>
                              <m:sty m:val="bi"/>
                            </m:rPr>
                            <w:rPr>
                              <w:rFonts w:ascii="Cambria Math" w:hAnsi="Cambria Math" w:cs="Arial"/>
                              <w:sz w:val="18"/>
                              <w:szCs w:val="18"/>
                            </w:rPr>
                            <m:t>convection</m:t>
                          </m:r>
                        </m:sub>
                      </m:sSub>
                    </m:num>
                    <m:den>
                      <m:r>
                        <m:rPr>
                          <m:sty m:val="bi"/>
                        </m:rPr>
                        <w:rPr>
                          <w:rFonts w:ascii="Cambria Math" w:hAnsi="Cambria Math" w:cs="Arial"/>
                          <w:sz w:val="18"/>
                          <w:szCs w:val="18"/>
                        </w:rPr>
                        <m:t>100</m:t>
                      </m:r>
                    </m:den>
                  </m:f>
                </m:den>
              </m:f>
            </m:e>
          </m:d>
        </m:oMath>
      </m:oMathPara>
    </w:p>
    <w:p w:rsidR="00B26A8B" w:rsidRPr="00BE4A88" w:rsidRDefault="00B26A8B" w:rsidP="00B26A8B">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 convection idle energy= </m:t>
          </m:r>
          <m:d>
            <m:dPr>
              <m:begChr m:val="["/>
              <m:endChr m:val="]"/>
              <m:ctrlPr>
                <w:rPr>
                  <w:rFonts w:ascii="Cambria Math" w:hAnsi="Cambria Math" w:cs="Arial"/>
                  <w:b/>
                  <w:i/>
                  <w:sz w:val="18"/>
                  <w:szCs w:val="18"/>
                </w:rPr>
              </m:ctrlPr>
            </m:dPr>
            <m:e>
              <m:sSub>
                <m:sSubPr>
                  <m:ctrlPr>
                    <w:rPr>
                      <w:rFonts w:ascii="Cambria Math" w:hAnsi="Cambria Math" w:cs="Arial"/>
                      <w:b/>
                      <w:i/>
                      <w:sz w:val="18"/>
                      <w:szCs w:val="18"/>
                    </w:rPr>
                  </m:ctrlPr>
                </m:sSubPr>
                <m:e>
                  <m:r>
                    <m:rPr>
                      <m:sty m:val="bi"/>
                    </m:rPr>
                    <w:rPr>
                      <w:rFonts w:ascii="Cambria Math" w:hAnsi="Cambria Math" w:cs="Arial"/>
                      <w:sz w:val="18"/>
                      <w:szCs w:val="18"/>
                    </w:rPr>
                    <m:t>IDLERATE</m:t>
                  </m:r>
                </m:e>
                <m:sub>
                  <m:r>
                    <m:rPr>
                      <m:sty m:val="bi"/>
                    </m:rPr>
                    <w:rPr>
                      <w:rFonts w:ascii="Cambria Math" w:hAnsi="Cambria Math" w:cs="Arial"/>
                      <w:sz w:val="18"/>
                      <w:szCs w:val="18"/>
                    </w:rPr>
                    <m:t>convection</m:t>
                  </m:r>
                </m:sub>
              </m:sSub>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EHOU-</m:t>
                  </m:r>
                  <m:f>
                    <m:fPr>
                      <m:ctrlPr>
                        <w:rPr>
                          <w:rFonts w:ascii="Cambria Math" w:hAnsi="Cambria Math" w:cs="Arial"/>
                          <w:b/>
                          <w:i/>
                          <w:sz w:val="18"/>
                          <w:szCs w:val="18"/>
                        </w:rPr>
                      </m:ctrlPr>
                    </m:fPr>
                    <m:num>
                      <m:r>
                        <m:rPr>
                          <m:sty m:val="bi"/>
                        </m:rPr>
                        <w:rPr>
                          <w:rFonts w:ascii="Cambria Math" w:hAnsi="Cambria Math" w:cs="Arial"/>
                          <w:sz w:val="18"/>
                          <w:szCs w:val="18"/>
                        </w:rPr>
                        <m:t>LBFOOD</m:t>
                      </m:r>
                    </m:num>
                    <m:den>
                      <m:sSub>
                        <m:sSubPr>
                          <m:ctrlPr>
                            <w:rPr>
                              <w:rFonts w:ascii="Cambria Math" w:hAnsi="Cambria Math" w:cs="Arial"/>
                              <w:b/>
                              <w:i/>
                              <w:sz w:val="18"/>
                              <w:szCs w:val="18"/>
                            </w:rPr>
                          </m:ctrlPr>
                        </m:sSubPr>
                        <m:e>
                          <m:r>
                            <m:rPr>
                              <m:sty m:val="bi"/>
                            </m:rPr>
                            <w:rPr>
                              <w:rFonts w:ascii="Cambria Math" w:hAnsi="Cambria Math" w:cs="Arial"/>
                              <w:sz w:val="18"/>
                              <w:szCs w:val="18"/>
                            </w:rPr>
                            <m:t>PC</m:t>
                          </m:r>
                        </m:e>
                        <m:sub>
                          <m:r>
                            <m:rPr>
                              <m:sty m:val="bi"/>
                            </m:rPr>
                            <w:rPr>
                              <w:rFonts w:ascii="Cambria Math" w:hAnsi="Cambria Math" w:cs="Arial"/>
                              <w:sz w:val="18"/>
                              <w:szCs w:val="18"/>
                            </w:rPr>
                            <m:t>convection</m:t>
                          </m:r>
                        </m:sub>
                      </m:sSub>
                    </m:den>
                  </m:f>
                  <m:r>
                    <m:rPr>
                      <m:sty m:val="bi"/>
                    </m:rPr>
                    <w:rPr>
                      <w:rFonts w:ascii="Cambria Math" w:hAnsi="Cambria Math" w:cs="Arial"/>
                      <w:sz w:val="18"/>
                      <w:szCs w:val="18"/>
                    </w:rPr>
                    <m:t>-(nP × TP/60)</m:t>
                  </m:r>
                </m:e>
              </m:d>
            </m:e>
          </m:d>
        </m:oMath>
      </m:oMathPara>
    </w:p>
    <w:p w:rsidR="00B26A8B" w:rsidRPr="00456436" w:rsidRDefault="00B26A8B" w:rsidP="00B26A8B">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nP x EP</m:t>
              </m:r>
            </m:e>
          </m:d>
        </m:oMath>
      </m:oMathPara>
    </w:p>
    <w:p w:rsidR="00844CDA" w:rsidRDefault="00844CDA" w:rsidP="00844CDA">
      <w:pPr>
        <w:rPr>
          <w:rFonts w:ascii="Arial" w:hAnsi="Arial" w:cs="Arial"/>
          <w:sz w:val="20"/>
          <w:szCs w:val="20"/>
        </w:rPr>
      </w:pPr>
      <w:r>
        <w:rPr>
          <w:rFonts w:ascii="Arial" w:hAnsi="Arial" w:cs="Arial"/>
          <w:sz w:val="20"/>
          <w:szCs w:val="20"/>
        </w:rPr>
        <w:t>Where:</w:t>
      </w:r>
    </w:p>
    <w:p w:rsidR="00844CDA" w:rsidRDefault="00844CDA" w:rsidP="00844CDA">
      <w:pPr>
        <w:rPr>
          <w:rFonts w:ascii="Arial" w:hAnsi="Arial" w:cs="Arial"/>
          <w:sz w:val="16"/>
          <w:szCs w:val="16"/>
        </w:rPr>
      </w:pPr>
    </w:p>
    <w:tbl>
      <w:tblPr>
        <w:tblW w:w="5000" w:type="pct"/>
        <w:jc w:val="center"/>
        <w:tblLook w:val="01E0" w:firstRow="1" w:lastRow="1" w:firstColumn="1" w:lastColumn="1" w:noHBand="0" w:noVBand="0"/>
      </w:tblPr>
      <w:tblGrid>
        <w:gridCol w:w="1980"/>
        <w:gridCol w:w="7596"/>
      </w:tblGrid>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EDAY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Calculated Daily Energy Consumption (kWh/day)</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LBFOOD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Estimated Pounds of Food Cooked per Day</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EFOOD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ASTM Energy to Food (kWh/lb) = kWh/pound of energy absorbed by food product during cooking based on ASTM F1496</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 xml:space="preserve">EFFICIENCY =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Measured Heavy Load Cooking Energy Efficiency %</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IDLE RATE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Measured Idle Energy Rate (kW)</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EHOU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Estimated Operating Hours/Day</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PC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Measured Production Capacity (lbs/hr)</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TP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Estimated Preheat Time (min)</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nP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Estimated Number of preheats/Day</w:t>
            </w:r>
          </w:p>
        </w:tc>
      </w:tr>
      <w:tr w:rsidR="00844CDA" w:rsidTr="00B725EE">
        <w:trPr>
          <w:trHeight w:val="288"/>
          <w:jc w:val="center"/>
        </w:trPr>
        <w:tc>
          <w:tcPr>
            <w:tcW w:w="1034" w:type="pct"/>
            <w:vAlign w:val="center"/>
          </w:tcPr>
          <w:p w:rsidR="00844CDA" w:rsidRDefault="00844CDA" w:rsidP="00B725EE">
            <w:pPr>
              <w:rPr>
                <w:rFonts w:ascii="Arial" w:hAnsi="Arial" w:cs="Arial"/>
                <w:sz w:val="20"/>
                <w:szCs w:val="20"/>
              </w:rPr>
            </w:pPr>
            <w:r>
              <w:rPr>
                <w:rFonts w:ascii="Arial" w:hAnsi="Arial" w:cs="Arial"/>
                <w:sz w:val="20"/>
                <w:szCs w:val="20"/>
              </w:rPr>
              <w:t>EP =</w:t>
            </w:r>
          </w:p>
        </w:tc>
        <w:tc>
          <w:tcPr>
            <w:tcW w:w="3966" w:type="pct"/>
            <w:vAlign w:val="center"/>
          </w:tcPr>
          <w:p w:rsidR="00844CDA" w:rsidRDefault="00844CDA" w:rsidP="00B725EE">
            <w:pPr>
              <w:rPr>
                <w:rFonts w:ascii="Arial" w:hAnsi="Arial" w:cs="Arial"/>
                <w:sz w:val="20"/>
                <w:szCs w:val="20"/>
              </w:rPr>
            </w:pPr>
            <w:r>
              <w:rPr>
                <w:rFonts w:ascii="Arial" w:hAnsi="Arial" w:cs="Arial"/>
                <w:sz w:val="20"/>
                <w:szCs w:val="20"/>
              </w:rPr>
              <w:t>Measured Preheat Energy (kWh)</w:t>
            </w:r>
          </w:p>
        </w:tc>
      </w:tr>
    </w:tbl>
    <w:p w:rsidR="00B26A8B" w:rsidRPr="00157363" w:rsidRDefault="00B26A8B" w:rsidP="00B26A8B">
      <w:pPr>
        <w:spacing w:before="120" w:after="120"/>
        <w:rPr>
          <w:b/>
          <w:lang w:eastAsia="x-none"/>
        </w:rPr>
      </w:pPr>
      <w:r w:rsidRPr="00157363">
        <w:rPr>
          <w:b/>
          <w:lang w:val="x-none" w:eastAsia="x-none"/>
        </w:rPr>
        <w:lastRenderedPageBreak/>
        <w:t xml:space="preserve">Daily Energy Consumption </w:t>
      </w:r>
      <w:r w:rsidRPr="00157363">
        <w:rPr>
          <w:b/>
          <w:lang w:eastAsia="x-none"/>
        </w:rPr>
        <w:t>Example:</w:t>
      </w:r>
    </w:p>
    <w:p w:rsidR="006716BC" w:rsidRDefault="006716BC" w:rsidP="006716BC">
      <w:r w:rsidRPr="006716BC">
        <w:t>Hand calculation may generate slightly different number due to rounding to significant digits.</w:t>
      </w:r>
      <w:r>
        <w:t xml:space="preserve"> </w:t>
      </w:r>
    </w:p>
    <w:p w:rsidR="00B26A8B" w:rsidRDefault="00B26A8B" w:rsidP="00B26A8B"/>
    <w:p w:rsidR="00B26A8B" w:rsidRPr="001B0233" w:rsidRDefault="001B0233" w:rsidP="00B26A8B">
      <w:pPr>
        <w:spacing w:before="120" w:after="120"/>
        <w:rPr>
          <w:rFonts w:ascii="Arial" w:hAnsi="Arial" w:cs="Arial"/>
          <w:b/>
          <w:sz w:val="18"/>
          <w:szCs w:val="18"/>
        </w:rPr>
      </w:pPr>
      <m:oMathPara>
        <m:oMathParaPr>
          <m:jc m:val="left"/>
        </m:oMathParaPr>
        <m:oMath>
          <m:r>
            <m:rPr>
              <m:sty m:val="b"/>
            </m:rPr>
            <w:rPr>
              <w:rFonts w:ascii="Cambria Math" w:hAnsi="Cambria Math"/>
              <w:sz w:val="18"/>
              <w:szCs w:val="18"/>
              <w:lang w:val="x-none" w:eastAsia="x-none"/>
            </w:rPr>
            <m:t>EDAY=11.26+26.88+ 1.7=39.84</m:t>
          </m:r>
        </m:oMath>
      </m:oMathPara>
    </w:p>
    <w:p w:rsidR="00B26A8B" w:rsidRPr="001D77D9" w:rsidRDefault="00B26A8B" w:rsidP="00B26A8B">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convection 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100 ×0.0732</m:t>
                  </m:r>
                </m:num>
                <m:den>
                  <m:f>
                    <m:fPr>
                      <m:ctrlPr>
                        <w:rPr>
                          <w:rFonts w:ascii="Cambria Math" w:hAnsi="Cambria Math" w:cs="Arial"/>
                          <w:b/>
                          <w:i/>
                          <w:sz w:val="18"/>
                          <w:szCs w:val="18"/>
                        </w:rPr>
                      </m:ctrlPr>
                    </m:fPr>
                    <m:num>
                      <m:r>
                        <m:rPr>
                          <m:sty m:val="bi"/>
                        </m:rPr>
                        <w:rPr>
                          <w:rFonts w:ascii="Cambria Math" w:hAnsi="Cambria Math" w:cs="Arial"/>
                          <w:sz w:val="18"/>
                          <w:szCs w:val="18"/>
                        </w:rPr>
                        <m:t>65</m:t>
                      </m:r>
                    </m:num>
                    <m:den>
                      <m:r>
                        <m:rPr>
                          <m:sty m:val="bi"/>
                        </m:rPr>
                        <w:rPr>
                          <w:rFonts w:ascii="Cambria Math" w:hAnsi="Cambria Math" w:cs="Arial"/>
                          <w:sz w:val="18"/>
                          <w:szCs w:val="18"/>
                        </w:rPr>
                        <m:t>100</m:t>
                      </m:r>
                    </m:den>
                  </m:f>
                </m:den>
              </m:f>
            </m:e>
          </m:d>
          <m:r>
            <m:rPr>
              <m:sty m:val="bi"/>
            </m:rPr>
            <w:rPr>
              <w:rFonts w:ascii="Cambria Math" w:hAnsi="Cambria Math" w:cs="Arial"/>
              <w:sz w:val="18"/>
              <w:szCs w:val="18"/>
            </w:rPr>
            <m:t>=11.26</m:t>
          </m:r>
        </m:oMath>
      </m:oMathPara>
    </w:p>
    <w:p w:rsidR="00B26A8B" w:rsidRPr="001B0233" w:rsidRDefault="00B26A8B" w:rsidP="00B26A8B">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convection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2.5×</m:t>
              </m:r>
              <m:d>
                <m:dPr>
                  <m:ctrlPr>
                    <w:rPr>
                      <w:rFonts w:ascii="Cambria Math" w:hAnsi="Cambria Math" w:cs="Arial"/>
                      <w:b/>
                      <w:i/>
                      <w:sz w:val="18"/>
                      <w:szCs w:val="18"/>
                    </w:rPr>
                  </m:ctrlPr>
                </m:dPr>
                <m:e>
                  <m:r>
                    <m:rPr>
                      <m:sty m:val="bi"/>
                    </m:rPr>
                    <w:rPr>
                      <w:rFonts w:ascii="Cambria Math" w:hAnsi="Cambria Math" w:cs="Arial"/>
                      <w:sz w:val="18"/>
                      <w:szCs w:val="18"/>
                    </w:rPr>
                    <m:t>12-</m:t>
                  </m:r>
                  <m:f>
                    <m:fPr>
                      <m:ctrlPr>
                        <w:rPr>
                          <w:rFonts w:ascii="Cambria Math" w:hAnsi="Cambria Math" w:cs="Arial"/>
                          <w:b/>
                          <w:i/>
                          <w:sz w:val="18"/>
                          <w:szCs w:val="18"/>
                        </w:rPr>
                      </m:ctrlPr>
                    </m:fPr>
                    <m:num>
                      <m:r>
                        <m:rPr>
                          <m:sty m:val="bi"/>
                        </m:rPr>
                        <w:rPr>
                          <w:rFonts w:ascii="Cambria Math" w:hAnsi="Cambria Math" w:cs="Arial"/>
                          <w:sz w:val="18"/>
                          <w:szCs w:val="18"/>
                        </w:rPr>
                        <m:t>100</m:t>
                      </m:r>
                    </m:num>
                    <m:den>
                      <m:r>
                        <m:rPr>
                          <m:sty m:val="bi"/>
                        </m:rPr>
                        <w:rPr>
                          <w:rFonts w:ascii="Cambria Math" w:hAnsi="Cambria Math" w:cs="Arial"/>
                          <w:sz w:val="18"/>
                          <w:szCs w:val="18"/>
                        </w:rPr>
                        <m:t>100</m:t>
                      </m:r>
                    </m:den>
                  </m:f>
                  <m:r>
                    <m:rPr>
                      <m:sty m:val="bi"/>
                    </m:rPr>
                    <w:rPr>
                      <w:rFonts w:ascii="Cambria Math" w:hAnsi="Cambria Math" w:cs="Arial"/>
                      <w:sz w:val="18"/>
                      <w:szCs w:val="18"/>
                    </w:rPr>
                    <m:t>-(1 × 15/60)</m:t>
                  </m:r>
                </m:e>
              </m:d>
            </m:e>
          </m:d>
          <m:r>
            <m:rPr>
              <m:sty m:val="bi"/>
            </m:rPr>
            <w:rPr>
              <w:rFonts w:ascii="Cambria Math" w:hAnsi="Cambria Math" w:cs="Arial"/>
              <w:sz w:val="18"/>
              <w:szCs w:val="18"/>
            </w:rPr>
            <m:t>=26.88</m:t>
          </m:r>
        </m:oMath>
      </m:oMathPara>
    </w:p>
    <w:p w:rsidR="001B0233" w:rsidRPr="004A107A" w:rsidRDefault="001B0233" w:rsidP="00B26A8B">
      <w:pPr>
        <w:spacing w:before="120" w:after="120"/>
        <w:rPr>
          <w:rFonts w:ascii="Arial" w:hAnsi="Arial" w:cs="Arial"/>
          <w:b/>
          <w:i/>
          <w:sz w:val="18"/>
          <w:szCs w:val="18"/>
        </w:rPr>
      </w:pPr>
    </w:p>
    <w:p w:rsidR="00B26A8B" w:rsidRPr="004A107A" w:rsidRDefault="00B26A8B" w:rsidP="00B26A8B">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1 ×1.7</m:t>
              </m:r>
            </m:e>
          </m:d>
          <m:r>
            <m:rPr>
              <m:sty m:val="bi"/>
            </m:rPr>
            <w:rPr>
              <w:rFonts w:ascii="Cambria Math" w:hAnsi="Cambria Math" w:cs="Arial"/>
              <w:sz w:val="18"/>
              <w:szCs w:val="18"/>
            </w:rPr>
            <m:t>=1.7</m:t>
          </m:r>
        </m:oMath>
      </m:oMathPara>
    </w:p>
    <w:p w:rsidR="00B26A8B" w:rsidRDefault="00B26A8B" w:rsidP="00F578B9">
      <w:pPr>
        <w:pStyle w:val="Heading2"/>
        <w:keepNext w:val="0"/>
        <w:rPr>
          <w:lang w:val="en-US"/>
        </w:rPr>
      </w:pPr>
    </w:p>
    <w:p w:rsidR="00F578B9" w:rsidRDefault="00F578B9" w:rsidP="00F578B9">
      <w:pPr>
        <w:pStyle w:val="Heading2"/>
        <w:keepNext w:val="0"/>
      </w:pPr>
      <w:bookmarkStart w:id="66" w:name="_Toc458439246"/>
      <w:r>
        <w:t>2.2. Demand Reduction Estimation Methodologies</w:t>
      </w:r>
      <w:bookmarkEnd w:id="66"/>
    </w:p>
    <w:p w:rsidR="003B67F8" w:rsidRDefault="003B67F8" w:rsidP="003B67F8">
      <w:r>
        <w:t>An oven’s a</w:t>
      </w:r>
      <w:r w:rsidRPr="00537143">
        <w:t xml:space="preserve">ctual contribution to </w:t>
      </w:r>
      <w:r>
        <w:t>a building’s peak</w:t>
      </w:r>
      <w:r w:rsidRPr="00537143">
        <w:t xml:space="preserve"> demand may vary significantly depending on its usage pattern in relation to that of other electric equipment in the facility</w:t>
      </w:r>
      <w:r>
        <w:t xml:space="preserve"> </w:t>
      </w:r>
      <w:r w:rsidRPr="00537143">
        <w:t>(operating schedule, appliance on time, etc.).</w:t>
      </w:r>
      <w:r>
        <w:t xml:space="preserve"> The probability of an appliance drawing its average rate during the period that the building peak is set is significantly higher than for any other input rate for that appliance. Therefore, it has been assumed that the probable contribution to the building</w:t>
      </w:r>
      <w:r w:rsidRPr="00537143">
        <w:t>’</w:t>
      </w:r>
      <w:r>
        <w:t>s peak demand is equal to the appliance’s average demand.</w:t>
      </w:r>
    </w:p>
    <w:p w:rsidR="003B67F8" w:rsidRDefault="003B67F8" w:rsidP="003B67F8"/>
    <w:p w:rsidR="003B67F8" w:rsidRDefault="003B67F8" w:rsidP="003B67F8">
      <w:r>
        <w:t>The demand reduction estimation is based on measured data for standard efficiency electric convection ovens and for high-efficiency convection ovens. The measured data are derived from tests conducted under ASTM Standard Test Method for the</w:t>
      </w:r>
      <w:r>
        <w:rPr>
          <w:rFonts w:ascii="Arial" w:hAnsi="Arial" w:cs="Arial"/>
          <w:i/>
          <w:iCs/>
        </w:rPr>
        <w:t xml:space="preserve"> </w:t>
      </w:r>
      <w:r>
        <w:t>Performance of Convection ovens (F1496).</w:t>
      </w:r>
    </w:p>
    <w:p w:rsidR="003B67F8" w:rsidRDefault="003B67F8" w:rsidP="003B67F8"/>
    <w:p w:rsidR="003B67F8" w:rsidRDefault="003B67F8" w:rsidP="003B67F8">
      <w:r>
        <w:t xml:space="preserve">ASTM F1496 provides standard conditions under which convection oven energy use is measured. The estimated demand reduction of </w:t>
      </w:r>
      <w:r w:rsidR="009F4A91" w:rsidRPr="009E14B4">
        <w:t>600 Watts for a Half-Size oven, 70</w:t>
      </w:r>
      <w:r w:rsidRPr="009E14B4">
        <w:t>0 Watts for a Full-Size oven and 830 Watts for a Large Full-Size oven is based on data from tests of standard efficiency and high efficiency convection ovens. Applying a Coincidence Factor of 0.9 for food service establishments using the professional judgement of the Food Service Technology Cente</w:t>
      </w:r>
      <w:r w:rsidR="009F4A91" w:rsidRPr="009E14B4">
        <w:t>r, yields a Demand Savings of 54</w:t>
      </w:r>
      <w:r w:rsidRPr="009E14B4">
        <w:t>0</w:t>
      </w:r>
      <w:r w:rsidR="009F4A91" w:rsidRPr="009E14B4">
        <w:t xml:space="preserve"> Watts for a Half-Size oven, 630</w:t>
      </w:r>
      <w:r w:rsidRPr="009E14B4">
        <w:t xml:space="preserve"> Watts for a Full-Size oven and 7</w:t>
      </w:r>
      <w:r w:rsidR="009E14B4" w:rsidRPr="009E14B4">
        <w:t>47</w:t>
      </w:r>
      <w:r w:rsidRPr="009E14B4">
        <w:t xml:space="preserve"> Watts for a Large Full-Size oven.</w:t>
      </w:r>
    </w:p>
    <w:p w:rsidR="003B67F8" w:rsidRDefault="003B67F8" w:rsidP="00ED30D3"/>
    <w:p w:rsidR="00EA01B5" w:rsidRDefault="00EA01B5" w:rsidP="00EA01B5">
      <w:pPr>
        <w:rPr>
          <w:lang w:eastAsia="x-none"/>
        </w:rPr>
      </w:pPr>
    </w:p>
    <w:p w:rsidR="00EA01B5" w:rsidRDefault="00EA01B5" w:rsidP="00EA01B5">
      <w:pPr>
        <w:rPr>
          <w:lang w:eastAsia="x-none"/>
        </w:rPr>
      </w:pPr>
    </w:p>
    <w:p w:rsidR="00EA01B5" w:rsidRDefault="00EA01B5" w:rsidP="00EA01B5">
      <w:pPr>
        <w:rPr>
          <w:lang w:eastAsia="x-none"/>
        </w:rPr>
      </w:pPr>
    </w:p>
    <w:p w:rsidR="00EA01B5" w:rsidRDefault="00EA01B5" w:rsidP="00EA01B5">
      <w:pPr>
        <w:rPr>
          <w:lang w:eastAsia="x-none"/>
        </w:rPr>
      </w:pPr>
    </w:p>
    <w:p w:rsidR="008B548D" w:rsidRDefault="008B548D" w:rsidP="00EA01B5">
      <w:pPr>
        <w:rPr>
          <w:lang w:eastAsia="x-none"/>
        </w:rPr>
      </w:pPr>
    </w:p>
    <w:p w:rsidR="008B548D" w:rsidRDefault="008B548D" w:rsidP="00EA01B5">
      <w:pPr>
        <w:rPr>
          <w:lang w:eastAsia="x-none"/>
        </w:rPr>
      </w:pPr>
    </w:p>
    <w:p w:rsidR="008B548D" w:rsidRDefault="008B548D" w:rsidP="00EA01B5">
      <w:pPr>
        <w:rPr>
          <w:lang w:eastAsia="x-none"/>
        </w:rPr>
      </w:pPr>
    </w:p>
    <w:p w:rsidR="008B548D" w:rsidRDefault="008B548D" w:rsidP="00EA01B5">
      <w:pPr>
        <w:rPr>
          <w:lang w:eastAsia="x-none"/>
        </w:rPr>
      </w:pPr>
    </w:p>
    <w:p w:rsidR="00F578B9" w:rsidRDefault="00F578B9" w:rsidP="00F578B9">
      <w:pPr>
        <w:pStyle w:val="Heading2"/>
      </w:pPr>
      <w:bookmarkStart w:id="67" w:name="_Toc458439247"/>
      <w:r>
        <w:lastRenderedPageBreak/>
        <w:t>2.3. Gas Energy Savings Estimation Methodologies</w:t>
      </w:r>
      <w:bookmarkEnd w:id="67"/>
    </w:p>
    <w:p w:rsidR="00172C1F" w:rsidRDefault="003B67F8" w:rsidP="00172C1F">
      <w:r>
        <w:t>The industry standard for energy use and cooking performance of convection ovens is ASTM Standard Test Method for the</w:t>
      </w:r>
      <w:r>
        <w:rPr>
          <w:rFonts w:ascii="Arial" w:hAnsi="Arial" w:cs="Arial"/>
          <w:i/>
          <w:iCs/>
        </w:rPr>
        <w:t xml:space="preserve"> </w:t>
      </w:r>
      <w:r>
        <w:t>Performance of Convection ovens (F1496). Tables 1</w:t>
      </w:r>
      <w:r w:rsidR="00842238">
        <w:t>2</w:t>
      </w:r>
      <w:r>
        <w:t xml:space="preserve"> - 1</w:t>
      </w:r>
      <w:r w:rsidR="00842238">
        <w:t>4</w:t>
      </w:r>
      <w:r>
        <w:t xml:space="preserve"> show examples of the calculation results under ASTM F1496.</w:t>
      </w:r>
      <w:r w:rsidR="00172C1F">
        <w:t xml:space="preserve"> To simplify the calculation the preheat time is assumed to be 15 min, since the industry standard preheat time is from 10-20min.</w:t>
      </w:r>
    </w:p>
    <w:p w:rsidR="003B67F8" w:rsidRDefault="003B67F8" w:rsidP="003B67F8">
      <w:pPr>
        <w:rPr>
          <w:highlight w:val="green"/>
        </w:rPr>
      </w:pPr>
    </w:p>
    <w:p w:rsidR="00343417" w:rsidRDefault="00343417" w:rsidP="00343417">
      <w:pPr>
        <w:pStyle w:val="Caption"/>
        <w:keepNext/>
        <w:rPr>
          <w:lang w:val="en-US"/>
        </w:rPr>
      </w:pPr>
    </w:p>
    <w:p w:rsidR="00343417" w:rsidRPr="00300A16" w:rsidRDefault="00300A16" w:rsidP="0015014A">
      <w:pPr>
        <w:pStyle w:val="Caption"/>
        <w:keepNext/>
        <w:jc w:val="center"/>
        <w:rPr>
          <w:sz w:val="24"/>
          <w:szCs w:val="24"/>
          <w:lang w:val="en-US"/>
        </w:rPr>
      </w:pPr>
      <w:bookmarkStart w:id="68" w:name="_Toc458439266"/>
      <w:r w:rsidRPr="00300A16">
        <w:rPr>
          <w:sz w:val="24"/>
          <w:szCs w:val="24"/>
        </w:rPr>
        <w:t>Table</w:t>
      </w:r>
      <w:r w:rsidRPr="00300A16">
        <w:rPr>
          <w:sz w:val="24"/>
          <w:szCs w:val="24"/>
          <w:lang w:val="en-US"/>
        </w:rPr>
        <w:t>-</w:t>
      </w:r>
      <w:r w:rsidR="00343417" w:rsidRPr="00300A16">
        <w:rPr>
          <w:sz w:val="24"/>
          <w:szCs w:val="24"/>
        </w:rPr>
        <w:fldChar w:fldCharType="begin"/>
      </w:r>
      <w:r w:rsidR="00343417" w:rsidRPr="00300A16">
        <w:rPr>
          <w:sz w:val="24"/>
          <w:szCs w:val="24"/>
        </w:rPr>
        <w:instrText xml:space="preserve"> SEQ Table \* ARABIC </w:instrText>
      </w:r>
      <w:r w:rsidR="00343417" w:rsidRPr="00300A16">
        <w:rPr>
          <w:sz w:val="24"/>
          <w:szCs w:val="24"/>
        </w:rPr>
        <w:fldChar w:fldCharType="separate"/>
      </w:r>
      <w:r w:rsidR="005B57BE">
        <w:rPr>
          <w:noProof/>
          <w:sz w:val="24"/>
          <w:szCs w:val="24"/>
        </w:rPr>
        <w:t>12</w:t>
      </w:r>
      <w:r w:rsidR="00343417" w:rsidRPr="00300A16">
        <w:rPr>
          <w:sz w:val="24"/>
          <w:szCs w:val="24"/>
        </w:rPr>
        <w:fldChar w:fldCharType="end"/>
      </w:r>
      <w:r w:rsidRPr="00300A16">
        <w:rPr>
          <w:sz w:val="24"/>
          <w:szCs w:val="24"/>
          <w:lang w:val="en-US"/>
        </w:rPr>
        <w:t xml:space="preserve">: </w:t>
      </w:r>
      <w:r w:rsidR="00343417" w:rsidRPr="00300A16">
        <w:rPr>
          <w:sz w:val="24"/>
          <w:szCs w:val="24"/>
        </w:rPr>
        <w:t>Commercial Gas Half-Size Convection Oven Cost Effectiveness Example</w:t>
      </w:r>
      <w:bookmarkEnd w:id="68"/>
    </w:p>
    <w:tbl>
      <w:tblPr>
        <w:tblW w:w="9162" w:type="dxa"/>
        <w:tblLook w:val="0000" w:firstRow="0" w:lastRow="0" w:firstColumn="0" w:lastColumn="0" w:noHBand="0" w:noVBand="0"/>
      </w:tblPr>
      <w:tblGrid>
        <w:gridCol w:w="4464"/>
        <w:gridCol w:w="1712"/>
        <w:gridCol w:w="2986"/>
      </w:tblGrid>
      <w:tr w:rsidR="003B67F8" w:rsidTr="001C4039">
        <w:trPr>
          <w:trHeight w:val="338"/>
        </w:trPr>
        <w:tc>
          <w:tcPr>
            <w:tcW w:w="446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b/>
                <w:bCs/>
              </w:rPr>
            </w:pPr>
            <w:r>
              <w:rPr>
                <w:rFonts w:ascii="Arial" w:hAnsi="Arial" w:cs="Arial"/>
                <w:b/>
                <w:bCs/>
              </w:rPr>
              <w:t>Performance</w:t>
            </w:r>
          </w:p>
        </w:tc>
        <w:tc>
          <w:tcPr>
            <w:tcW w:w="1712" w:type="dxa"/>
            <w:tcBorders>
              <w:top w:val="single" w:sz="4" w:space="0" w:color="auto"/>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b/>
                <w:bCs/>
              </w:rPr>
            </w:pPr>
            <w:r>
              <w:rPr>
                <w:rFonts w:ascii="Arial" w:hAnsi="Arial" w:cs="Arial"/>
                <w:b/>
                <w:bCs/>
              </w:rPr>
              <w:t>Base Model</w:t>
            </w:r>
          </w:p>
        </w:tc>
        <w:tc>
          <w:tcPr>
            <w:tcW w:w="2986" w:type="dxa"/>
            <w:tcBorders>
              <w:top w:val="single" w:sz="4" w:space="0" w:color="auto"/>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b/>
                <w:bCs/>
              </w:rPr>
            </w:pPr>
            <w:r>
              <w:rPr>
                <w:rFonts w:ascii="Arial" w:hAnsi="Arial" w:cs="Arial"/>
                <w:b/>
                <w:bCs/>
              </w:rPr>
              <w:t>Energy Efficient Model</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Preheat Energy (Btu)</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13,000</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7,500</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Idle Energy Rate (Btu/hr)</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12,000</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8,500</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Cooking-Energy Efficiency (%)</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1674CA" w:rsidP="001C4039">
            <w:pPr>
              <w:jc w:val="center"/>
              <w:rPr>
                <w:rFonts w:ascii="Arial" w:hAnsi="Arial" w:cs="Arial"/>
                <w:sz w:val="20"/>
                <w:szCs w:val="20"/>
              </w:rPr>
            </w:pPr>
            <w:r>
              <w:rPr>
                <w:rFonts w:ascii="Arial" w:hAnsi="Arial" w:cs="Arial"/>
                <w:sz w:val="20"/>
                <w:szCs w:val="20"/>
              </w:rPr>
              <w:t>30</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1674CA" w:rsidP="001C4039">
            <w:pPr>
              <w:jc w:val="center"/>
              <w:rPr>
                <w:rFonts w:ascii="Arial" w:hAnsi="Arial" w:cs="Arial"/>
                <w:sz w:val="20"/>
                <w:szCs w:val="20"/>
              </w:rPr>
            </w:pPr>
            <w:r>
              <w:rPr>
                <w:rFonts w:ascii="Arial" w:hAnsi="Arial" w:cs="Arial"/>
                <w:sz w:val="20"/>
                <w:szCs w:val="20"/>
              </w:rPr>
              <w:t>45</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Production Capacity (lb/hr)</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45</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55</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Operating Hours/Day</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Operating Days/Year</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365</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365</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Number of Preheats per Day</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Pounds of Food Cooked per Day</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100</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100</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ASTM Energy to Food (Btu/lb)</w:t>
            </w:r>
            <w:r w:rsidR="00B725EE" w:rsidRPr="00B725EE">
              <w:rPr>
                <w:rFonts w:ascii="Arial" w:hAnsi="Arial" w:cs="Arial"/>
                <w:sz w:val="20"/>
                <w:szCs w:val="20"/>
                <w:vertAlign w:val="superscript"/>
              </w:rPr>
              <w:t>a</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250</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250</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Daily Energy Consumption (Btu)</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1674CA" w:rsidP="001C4039">
            <w:pPr>
              <w:jc w:val="center"/>
              <w:rPr>
                <w:rFonts w:ascii="Arial" w:hAnsi="Arial" w:cs="Arial"/>
                <w:sz w:val="20"/>
                <w:szCs w:val="20"/>
              </w:rPr>
            </w:pPr>
            <w:r w:rsidRPr="000C562D">
              <w:rPr>
                <w:rFonts w:ascii="Arial" w:hAnsi="Arial" w:cs="Arial"/>
                <w:sz w:val="20"/>
                <w:szCs w:val="20"/>
              </w:rPr>
              <w:t>210,6</w:t>
            </w:r>
            <w:r w:rsidR="00D1686F" w:rsidRPr="000C562D">
              <w:rPr>
                <w:rFonts w:ascii="Arial" w:hAnsi="Arial" w:cs="Arial"/>
                <w:sz w:val="20"/>
                <w:szCs w:val="20"/>
              </w:rPr>
              <w:t>72</w:t>
            </w:r>
          </w:p>
        </w:tc>
        <w:tc>
          <w:tcPr>
            <w:tcW w:w="2986" w:type="dxa"/>
            <w:tcBorders>
              <w:top w:val="nil"/>
              <w:left w:val="nil"/>
              <w:bottom w:val="single" w:sz="4" w:space="0" w:color="auto"/>
              <w:right w:val="single" w:sz="4" w:space="0" w:color="auto"/>
            </w:tcBorders>
            <w:shd w:val="clear" w:color="auto" w:fill="FFFFFF"/>
            <w:noWrap/>
            <w:vAlign w:val="center"/>
          </w:tcPr>
          <w:p w:rsidR="003B67F8" w:rsidRPr="001674CA" w:rsidRDefault="001674CA" w:rsidP="001674CA">
            <w:pPr>
              <w:jc w:val="center"/>
              <w:rPr>
                <w:rFonts w:ascii="Arial" w:hAnsi="Arial" w:cs="Arial"/>
                <w:sz w:val="20"/>
                <w:szCs w:val="20"/>
                <w:highlight w:val="yellow"/>
              </w:rPr>
            </w:pPr>
            <w:r w:rsidRPr="000C562D">
              <w:rPr>
                <w:rFonts w:ascii="Arial" w:hAnsi="Arial" w:cs="Arial"/>
                <w:sz w:val="20"/>
                <w:szCs w:val="20"/>
              </w:rPr>
              <w:t>147</w:t>
            </w:r>
            <w:r w:rsidR="003B67F8" w:rsidRPr="000C562D">
              <w:rPr>
                <w:rFonts w:ascii="Arial" w:hAnsi="Arial" w:cs="Arial"/>
                <w:sz w:val="20"/>
                <w:szCs w:val="20"/>
              </w:rPr>
              <w:t>,</w:t>
            </w:r>
            <w:r w:rsidR="000C562D" w:rsidRPr="000C562D">
              <w:rPr>
                <w:rFonts w:ascii="Arial" w:hAnsi="Arial" w:cs="Arial"/>
                <w:strike/>
                <w:sz w:val="20"/>
                <w:szCs w:val="20"/>
              </w:rPr>
              <w:t>4</w:t>
            </w:r>
            <w:r w:rsidR="00D1686F" w:rsidRPr="000C562D">
              <w:rPr>
                <w:rFonts w:ascii="Arial" w:hAnsi="Arial" w:cs="Arial"/>
                <w:sz w:val="20"/>
                <w:szCs w:val="20"/>
              </w:rPr>
              <w:t>80</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Annual Energy Consumption (therms)</w:t>
            </w:r>
            <w:r w:rsidR="00B725EE">
              <w:rPr>
                <w:rFonts w:ascii="Arial" w:hAnsi="Arial" w:cs="Arial"/>
                <w:sz w:val="20"/>
                <w:szCs w:val="20"/>
                <w:vertAlign w:val="superscript"/>
              </w:rPr>
              <w:t>b</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769</w:t>
            </w:r>
          </w:p>
        </w:tc>
        <w:tc>
          <w:tcPr>
            <w:tcW w:w="2986" w:type="dxa"/>
            <w:tcBorders>
              <w:top w:val="nil"/>
              <w:left w:val="nil"/>
              <w:bottom w:val="single" w:sz="4" w:space="0" w:color="auto"/>
              <w:right w:val="single" w:sz="4" w:space="0" w:color="auto"/>
            </w:tcBorders>
            <w:shd w:val="clear" w:color="auto" w:fill="FFFFFF"/>
            <w:noWrap/>
            <w:vAlign w:val="center"/>
          </w:tcPr>
          <w:p w:rsidR="003B67F8" w:rsidRPr="001674CA" w:rsidRDefault="001674CA" w:rsidP="001C4039">
            <w:pPr>
              <w:jc w:val="center"/>
              <w:rPr>
                <w:rFonts w:ascii="Arial" w:hAnsi="Arial" w:cs="Arial"/>
                <w:sz w:val="20"/>
                <w:szCs w:val="20"/>
                <w:highlight w:val="yellow"/>
              </w:rPr>
            </w:pPr>
            <w:r w:rsidRPr="00B725EE">
              <w:rPr>
                <w:rFonts w:ascii="Arial" w:hAnsi="Arial" w:cs="Arial"/>
                <w:sz w:val="20"/>
                <w:szCs w:val="20"/>
              </w:rPr>
              <w:t>538</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Estimated Energy Savings (therms/yr)</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w:t>
            </w:r>
          </w:p>
        </w:tc>
        <w:tc>
          <w:tcPr>
            <w:tcW w:w="2986" w:type="dxa"/>
            <w:tcBorders>
              <w:top w:val="nil"/>
              <w:left w:val="nil"/>
              <w:bottom w:val="single" w:sz="4" w:space="0" w:color="auto"/>
              <w:right w:val="single" w:sz="4" w:space="0" w:color="auto"/>
            </w:tcBorders>
            <w:shd w:val="clear" w:color="auto" w:fill="FFFFFF"/>
            <w:noWrap/>
            <w:vAlign w:val="center"/>
          </w:tcPr>
          <w:p w:rsidR="003B67F8" w:rsidRPr="005630F4" w:rsidRDefault="00596F88" w:rsidP="001C4039">
            <w:pPr>
              <w:jc w:val="center"/>
              <w:rPr>
                <w:rFonts w:ascii="Arial" w:hAnsi="Arial" w:cs="Arial"/>
                <w:b/>
                <w:sz w:val="20"/>
                <w:szCs w:val="20"/>
              </w:rPr>
            </w:pPr>
            <w:r>
              <w:rPr>
                <w:rFonts w:ascii="Arial" w:hAnsi="Arial" w:cs="Arial"/>
                <w:b/>
                <w:sz w:val="20"/>
                <w:szCs w:val="20"/>
              </w:rPr>
              <w:t>231</w:t>
            </w:r>
          </w:p>
        </w:tc>
      </w:tr>
      <w:tr w:rsidR="003B67F8" w:rsidTr="001C4039">
        <w:trPr>
          <w:trHeight w:val="225"/>
        </w:trPr>
        <w:tc>
          <w:tcPr>
            <w:tcW w:w="4464"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Estimated Useful Life (EUL)</w:t>
            </w:r>
            <w:r w:rsidR="00B725EE">
              <w:rPr>
                <w:rFonts w:ascii="Arial" w:hAnsi="Arial" w:cs="Arial"/>
                <w:sz w:val="20"/>
                <w:szCs w:val="20"/>
                <w:vertAlign w:val="superscript"/>
              </w:rPr>
              <w:t>c</w:t>
            </w:r>
          </w:p>
        </w:tc>
        <w:tc>
          <w:tcPr>
            <w:tcW w:w="1712"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c>
          <w:tcPr>
            <w:tcW w:w="2986"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r>
    </w:tbl>
    <w:p w:rsidR="00571D3F" w:rsidRPr="00A4002B" w:rsidRDefault="00571D3F" w:rsidP="00571D3F">
      <w:pPr>
        <w:rPr>
          <w:sz w:val="18"/>
          <w:szCs w:val="18"/>
        </w:rPr>
      </w:pPr>
      <w:r w:rsidRPr="00A4002B">
        <w:rPr>
          <w:sz w:val="18"/>
          <w:szCs w:val="18"/>
        </w:rPr>
        <w:t>a</w:t>
      </w:r>
      <w:r w:rsidRPr="00A4002B">
        <w:rPr>
          <w:sz w:val="18"/>
          <w:szCs w:val="18"/>
          <w:lang w:val="x-none" w:eastAsia="x-none"/>
        </w:rPr>
        <w:t xml:space="preserve"> This is the average value calculated by FSTC through ASTM F1496 test </w:t>
      </w:r>
      <w:r w:rsidRPr="00A4002B">
        <w:rPr>
          <w:sz w:val="18"/>
          <w:szCs w:val="18"/>
          <w:lang w:eastAsia="x-none"/>
        </w:rPr>
        <w:t xml:space="preserve">through weight and temperature measurement of test product cooked in convection ovens </w:t>
      </w:r>
      <w:r w:rsidRPr="00A4002B">
        <w:rPr>
          <w:sz w:val="18"/>
          <w:szCs w:val="18"/>
          <w:lang w:val="x-none" w:eastAsia="x-none"/>
        </w:rPr>
        <w:t>(250 Btu/lb for russet potato</w:t>
      </w:r>
      <w:r w:rsidRPr="00A4002B">
        <w:rPr>
          <w:sz w:val="18"/>
          <w:szCs w:val="18"/>
          <w:lang w:eastAsia="x-none"/>
        </w:rPr>
        <w:t>)</w:t>
      </w:r>
    </w:p>
    <w:p w:rsidR="003B67F8" w:rsidRPr="00A4002B" w:rsidRDefault="00D1774C" w:rsidP="00571D3F">
      <w:pPr>
        <w:rPr>
          <w:sz w:val="18"/>
          <w:szCs w:val="18"/>
        </w:rPr>
      </w:pPr>
      <w:hyperlink r:id="rId21" w:history="1">
        <w:r w:rsidR="00571D3F" w:rsidRPr="00A4002B">
          <w:rPr>
            <w:rStyle w:val="Hyperlink"/>
            <w:sz w:val="18"/>
            <w:szCs w:val="18"/>
            <w:lang w:eastAsia="x-none"/>
          </w:rPr>
          <w:t>http://www.fishnick.com/publications/appliancereports/convectionovens/</w:t>
        </w:r>
      </w:hyperlink>
    </w:p>
    <w:p w:rsidR="003B67F8" w:rsidRPr="00A4002B" w:rsidRDefault="00120AD3" w:rsidP="003B67F8">
      <w:pPr>
        <w:rPr>
          <w:sz w:val="18"/>
          <w:szCs w:val="18"/>
        </w:rPr>
      </w:pPr>
      <w:r w:rsidRPr="00A4002B">
        <w:rPr>
          <w:sz w:val="18"/>
          <w:szCs w:val="18"/>
        </w:rPr>
        <w:t>b</w:t>
      </w:r>
      <w:r w:rsidR="003B67F8" w:rsidRPr="00A4002B">
        <w:rPr>
          <w:sz w:val="18"/>
          <w:szCs w:val="18"/>
        </w:rPr>
        <w:t xml:space="preserve"> </w:t>
      </w:r>
      <w:r w:rsidR="00571D3F" w:rsidRPr="00A4002B">
        <w:rPr>
          <w:sz w:val="18"/>
          <w:szCs w:val="18"/>
        </w:rPr>
        <w:t>1 therm = 100,000 Btu.</w:t>
      </w:r>
      <w:r w:rsidR="003B67F8" w:rsidRPr="00A4002B">
        <w:rPr>
          <w:sz w:val="18"/>
          <w:szCs w:val="18"/>
        </w:rPr>
        <w:t>.</w:t>
      </w:r>
    </w:p>
    <w:p w:rsidR="00120AD3" w:rsidRDefault="00B725EE" w:rsidP="003B67F8">
      <w:pPr>
        <w:pStyle w:val="Table"/>
        <w:rPr>
          <w:lang w:val="en-US"/>
        </w:rPr>
      </w:pPr>
      <w:r w:rsidRPr="00A4002B">
        <w:rPr>
          <w:rFonts w:ascii="Times New Roman" w:hAnsi="Times New Roman" w:cs="Times New Roman"/>
          <w:b w:val="0"/>
          <w:bCs w:val="0"/>
          <w:sz w:val="18"/>
          <w:szCs w:val="18"/>
          <w:vertAlign w:val="superscript"/>
          <w:lang w:val="en-US" w:eastAsia="en-US"/>
        </w:rPr>
        <w:t>C</w:t>
      </w:r>
      <w:r w:rsidRPr="00A4002B">
        <w:rPr>
          <w:rFonts w:ascii="Times New Roman" w:hAnsi="Times New Roman" w:cs="Times New Roman"/>
          <w:b w:val="0"/>
          <w:bCs w:val="0"/>
          <w:sz w:val="18"/>
          <w:szCs w:val="18"/>
          <w:lang w:val="en-US" w:eastAsia="en-US"/>
        </w:rPr>
        <w:t xml:space="preserve"> </w:t>
      </w:r>
      <w:r w:rsidR="00571D3F" w:rsidRPr="00A4002B">
        <w:rPr>
          <w:rFonts w:ascii="Times New Roman" w:hAnsi="Times New Roman" w:cs="Times New Roman"/>
          <w:b w:val="0"/>
          <w:bCs w:val="0"/>
          <w:sz w:val="18"/>
          <w:szCs w:val="18"/>
          <w:lang w:val="en-US" w:eastAsia="en-US"/>
        </w:rPr>
        <w:t>The estimated useful life is based DEER EUL estimates.</w:t>
      </w:r>
    </w:p>
    <w:p w:rsidR="003B67F8" w:rsidRPr="000C1136" w:rsidRDefault="003B67F8" w:rsidP="003B67F8">
      <w:pPr>
        <w:pStyle w:val="Table"/>
        <w:rPr>
          <w:lang w:val="en-US"/>
        </w:rPr>
      </w:pPr>
    </w:p>
    <w:p w:rsidR="000C1136" w:rsidRPr="00FA1F20" w:rsidRDefault="00FA1F20" w:rsidP="00FA1F20">
      <w:pPr>
        <w:pStyle w:val="Caption"/>
        <w:keepNext/>
        <w:jc w:val="center"/>
        <w:rPr>
          <w:sz w:val="24"/>
          <w:szCs w:val="24"/>
          <w:lang w:val="en-US"/>
        </w:rPr>
      </w:pPr>
      <w:bookmarkStart w:id="69" w:name="_Toc458439267"/>
      <w:r w:rsidRPr="00FA1F20">
        <w:rPr>
          <w:sz w:val="24"/>
          <w:szCs w:val="24"/>
        </w:rPr>
        <w:t>Table</w:t>
      </w:r>
      <w:r w:rsidRPr="00FA1F20">
        <w:rPr>
          <w:sz w:val="24"/>
          <w:szCs w:val="24"/>
          <w:lang w:val="en-US"/>
        </w:rPr>
        <w:t>-</w:t>
      </w:r>
      <w:r w:rsidR="000C1136" w:rsidRPr="00FA1F20">
        <w:rPr>
          <w:sz w:val="24"/>
          <w:szCs w:val="24"/>
        </w:rPr>
        <w:fldChar w:fldCharType="begin"/>
      </w:r>
      <w:r w:rsidR="000C1136" w:rsidRPr="00FA1F20">
        <w:rPr>
          <w:sz w:val="24"/>
          <w:szCs w:val="24"/>
        </w:rPr>
        <w:instrText xml:space="preserve"> SEQ Table \* ARABIC </w:instrText>
      </w:r>
      <w:r w:rsidR="000C1136" w:rsidRPr="00FA1F20">
        <w:rPr>
          <w:sz w:val="24"/>
          <w:szCs w:val="24"/>
        </w:rPr>
        <w:fldChar w:fldCharType="separate"/>
      </w:r>
      <w:r w:rsidR="005B57BE">
        <w:rPr>
          <w:noProof/>
          <w:sz w:val="24"/>
          <w:szCs w:val="24"/>
        </w:rPr>
        <w:t>13</w:t>
      </w:r>
      <w:r w:rsidR="000C1136" w:rsidRPr="00FA1F20">
        <w:rPr>
          <w:sz w:val="24"/>
          <w:szCs w:val="24"/>
        </w:rPr>
        <w:fldChar w:fldCharType="end"/>
      </w:r>
      <w:r w:rsidRPr="00FA1F20">
        <w:rPr>
          <w:sz w:val="24"/>
          <w:szCs w:val="24"/>
          <w:lang w:val="en-US"/>
        </w:rPr>
        <w:t xml:space="preserve">: </w:t>
      </w:r>
      <w:r w:rsidR="000C1136" w:rsidRPr="00FA1F20">
        <w:rPr>
          <w:sz w:val="24"/>
          <w:szCs w:val="24"/>
        </w:rPr>
        <w:t>Commercial Gas Full-Size Convection Oven Cost Effectiveness Example</w:t>
      </w:r>
      <w:bookmarkEnd w:id="69"/>
    </w:p>
    <w:tbl>
      <w:tblPr>
        <w:tblW w:w="9012" w:type="dxa"/>
        <w:tblLook w:val="0000" w:firstRow="0" w:lastRow="0" w:firstColumn="0" w:lastColumn="0" w:noHBand="0" w:noVBand="0"/>
      </w:tblPr>
      <w:tblGrid>
        <w:gridCol w:w="4391"/>
        <w:gridCol w:w="1684"/>
        <w:gridCol w:w="2937"/>
      </w:tblGrid>
      <w:tr w:rsidR="003B67F8" w:rsidTr="001C4039">
        <w:trPr>
          <w:trHeight w:val="432"/>
        </w:trPr>
        <w:tc>
          <w:tcPr>
            <w:tcW w:w="439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b/>
                <w:bCs/>
              </w:rPr>
            </w:pPr>
            <w:r>
              <w:rPr>
                <w:rFonts w:ascii="Arial" w:hAnsi="Arial" w:cs="Arial"/>
                <w:b/>
                <w:bCs/>
              </w:rPr>
              <w:t>Performance</w:t>
            </w:r>
          </w:p>
        </w:tc>
        <w:tc>
          <w:tcPr>
            <w:tcW w:w="1684" w:type="dxa"/>
            <w:tcBorders>
              <w:top w:val="single" w:sz="4" w:space="0" w:color="auto"/>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b/>
                <w:bCs/>
              </w:rPr>
            </w:pPr>
            <w:r>
              <w:rPr>
                <w:rFonts w:ascii="Arial" w:hAnsi="Arial" w:cs="Arial"/>
                <w:b/>
                <w:bCs/>
              </w:rPr>
              <w:t>Base Model</w:t>
            </w:r>
          </w:p>
        </w:tc>
        <w:tc>
          <w:tcPr>
            <w:tcW w:w="2937" w:type="dxa"/>
            <w:tcBorders>
              <w:top w:val="single" w:sz="4" w:space="0" w:color="auto"/>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b/>
                <w:bCs/>
              </w:rPr>
            </w:pPr>
            <w:r>
              <w:rPr>
                <w:rFonts w:ascii="Arial" w:hAnsi="Arial" w:cs="Arial"/>
                <w:b/>
                <w:bCs/>
              </w:rPr>
              <w:t>Energy Efficient Model</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Preheat Energy (Btu)</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19,000</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2B78BE">
            <w:pPr>
              <w:jc w:val="center"/>
              <w:rPr>
                <w:rFonts w:ascii="Arial" w:hAnsi="Arial" w:cs="Arial"/>
                <w:sz w:val="20"/>
                <w:szCs w:val="20"/>
              </w:rPr>
            </w:pPr>
            <w:r>
              <w:rPr>
                <w:rFonts w:ascii="Arial" w:hAnsi="Arial" w:cs="Arial"/>
                <w:sz w:val="20"/>
                <w:szCs w:val="20"/>
              </w:rPr>
              <w:t>1</w:t>
            </w:r>
            <w:r w:rsidR="002B78BE">
              <w:rPr>
                <w:rFonts w:ascii="Arial" w:hAnsi="Arial" w:cs="Arial"/>
                <w:sz w:val="20"/>
                <w:szCs w:val="20"/>
              </w:rPr>
              <w:t>1,000</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Idle Energy Rate (Btu/hr)</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18,000</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2B78BE">
            <w:pPr>
              <w:jc w:val="center"/>
              <w:rPr>
                <w:rFonts w:ascii="Arial" w:hAnsi="Arial" w:cs="Arial"/>
                <w:sz w:val="20"/>
                <w:szCs w:val="20"/>
              </w:rPr>
            </w:pPr>
            <w:r>
              <w:rPr>
                <w:rFonts w:ascii="Arial" w:hAnsi="Arial" w:cs="Arial"/>
                <w:sz w:val="20"/>
                <w:szCs w:val="20"/>
              </w:rPr>
              <w:t>1</w:t>
            </w:r>
            <w:r w:rsidR="002B78BE">
              <w:rPr>
                <w:rFonts w:ascii="Arial" w:hAnsi="Arial" w:cs="Arial"/>
                <w:sz w:val="20"/>
                <w:szCs w:val="20"/>
              </w:rPr>
              <w:t>1,758</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Cooking-Energy Efficiency (%)</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2B78BE" w:rsidP="001C4039">
            <w:pPr>
              <w:jc w:val="center"/>
              <w:rPr>
                <w:rFonts w:ascii="Arial" w:hAnsi="Arial" w:cs="Arial"/>
                <w:sz w:val="20"/>
                <w:szCs w:val="20"/>
              </w:rPr>
            </w:pPr>
            <w:r>
              <w:rPr>
                <w:rFonts w:ascii="Arial" w:hAnsi="Arial" w:cs="Arial"/>
                <w:sz w:val="20"/>
                <w:szCs w:val="20"/>
              </w:rPr>
              <w:t>30</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2B78BE" w:rsidP="001C4039">
            <w:pPr>
              <w:jc w:val="center"/>
              <w:rPr>
                <w:rFonts w:ascii="Arial" w:hAnsi="Arial" w:cs="Arial"/>
                <w:sz w:val="20"/>
                <w:szCs w:val="20"/>
              </w:rPr>
            </w:pPr>
            <w:r w:rsidRPr="002B1B37">
              <w:rPr>
                <w:rFonts w:ascii="Arial" w:hAnsi="Arial" w:cs="Arial"/>
                <w:sz w:val="20"/>
                <w:szCs w:val="20"/>
              </w:rPr>
              <w:t>45</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Production Capacity (lb/hr)</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70</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2B78BE" w:rsidP="001C4039">
            <w:pPr>
              <w:jc w:val="center"/>
              <w:rPr>
                <w:rFonts w:ascii="Arial" w:hAnsi="Arial" w:cs="Arial"/>
                <w:sz w:val="20"/>
                <w:szCs w:val="20"/>
              </w:rPr>
            </w:pPr>
            <w:r>
              <w:rPr>
                <w:rFonts w:ascii="Arial" w:hAnsi="Arial" w:cs="Arial"/>
                <w:sz w:val="20"/>
                <w:szCs w:val="20"/>
              </w:rPr>
              <w:t>83</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Operating Hours/Day</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Operating Days/Year</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365</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365</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Number of Preheats per Day</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Pounds of Food Cooked per Day</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100</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100</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ASTM Energy to Food (Btu/lb)</w:t>
            </w:r>
            <w:r w:rsidR="0044292C" w:rsidRPr="0044292C">
              <w:rPr>
                <w:rFonts w:ascii="Arial" w:hAnsi="Arial" w:cs="Arial"/>
                <w:sz w:val="20"/>
                <w:szCs w:val="20"/>
                <w:vertAlign w:val="superscript"/>
              </w:rPr>
              <w:t>a</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250</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250</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Daily Energy Consumption (Btu)</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2B78BE" w:rsidP="001400D2">
            <w:pPr>
              <w:jc w:val="center"/>
              <w:rPr>
                <w:rFonts w:ascii="Arial" w:hAnsi="Arial" w:cs="Arial"/>
                <w:sz w:val="20"/>
                <w:szCs w:val="20"/>
              </w:rPr>
            </w:pPr>
            <w:r w:rsidRPr="001400D2">
              <w:rPr>
                <w:rFonts w:ascii="Arial" w:hAnsi="Arial" w:cs="Arial"/>
                <w:sz w:val="20"/>
                <w:szCs w:val="20"/>
              </w:rPr>
              <w:t>288,</w:t>
            </w:r>
            <w:r w:rsidR="00B40181" w:rsidRPr="001400D2">
              <w:rPr>
                <w:rFonts w:ascii="Arial" w:hAnsi="Arial" w:cs="Arial"/>
                <w:sz w:val="20"/>
                <w:szCs w:val="20"/>
              </w:rPr>
              <w:t>120</w:t>
            </w:r>
          </w:p>
        </w:tc>
        <w:tc>
          <w:tcPr>
            <w:tcW w:w="2937" w:type="dxa"/>
            <w:tcBorders>
              <w:top w:val="nil"/>
              <w:left w:val="nil"/>
              <w:bottom w:val="single" w:sz="4" w:space="0" w:color="auto"/>
              <w:right w:val="single" w:sz="4" w:space="0" w:color="auto"/>
            </w:tcBorders>
            <w:shd w:val="clear" w:color="auto" w:fill="FFFFFF"/>
            <w:noWrap/>
            <w:vAlign w:val="center"/>
          </w:tcPr>
          <w:p w:rsidR="003B67F8" w:rsidRPr="002B78BE" w:rsidRDefault="002B78BE" w:rsidP="002B78BE">
            <w:pPr>
              <w:jc w:val="center"/>
              <w:rPr>
                <w:rFonts w:ascii="Arial" w:hAnsi="Arial" w:cs="Arial"/>
                <w:sz w:val="20"/>
                <w:szCs w:val="20"/>
                <w:highlight w:val="yellow"/>
              </w:rPr>
            </w:pPr>
            <w:r w:rsidRPr="001400D2">
              <w:rPr>
                <w:rFonts w:ascii="Arial" w:hAnsi="Arial" w:cs="Arial"/>
                <w:sz w:val="20"/>
                <w:szCs w:val="20"/>
              </w:rPr>
              <w:t>190,</w:t>
            </w:r>
            <w:r w:rsidR="00B40181" w:rsidRPr="001400D2">
              <w:rPr>
                <w:rFonts w:ascii="Arial" w:hAnsi="Arial" w:cs="Arial"/>
                <w:sz w:val="20"/>
                <w:szCs w:val="20"/>
              </w:rPr>
              <w:t>548</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Annual Energy Consumption (therms)</w:t>
            </w:r>
            <w:r w:rsidR="0044292C">
              <w:rPr>
                <w:rFonts w:ascii="Arial" w:hAnsi="Arial" w:cs="Arial"/>
                <w:sz w:val="20"/>
                <w:szCs w:val="20"/>
                <w:vertAlign w:val="superscript"/>
              </w:rPr>
              <w:t>b</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1,052</w:t>
            </w:r>
          </w:p>
        </w:tc>
        <w:tc>
          <w:tcPr>
            <w:tcW w:w="2937" w:type="dxa"/>
            <w:tcBorders>
              <w:top w:val="nil"/>
              <w:left w:val="nil"/>
              <w:bottom w:val="single" w:sz="4" w:space="0" w:color="auto"/>
              <w:right w:val="single" w:sz="4" w:space="0" w:color="auto"/>
            </w:tcBorders>
            <w:shd w:val="clear" w:color="auto" w:fill="FFFFFF"/>
            <w:noWrap/>
            <w:vAlign w:val="center"/>
          </w:tcPr>
          <w:p w:rsidR="003B67F8" w:rsidRPr="002B78BE" w:rsidRDefault="002B78BE" w:rsidP="001C4039">
            <w:pPr>
              <w:jc w:val="center"/>
              <w:rPr>
                <w:rFonts w:ascii="Arial" w:hAnsi="Arial" w:cs="Arial"/>
                <w:sz w:val="20"/>
                <w:szCs w:val="20"/>
                <w:highlight w:val="yellow"/>
              </w:rPr>
            </w:pPr>
            <w:r w:rsidRPr="002B1B37">
              <w:rPr>
                <w:rFonts w:ascii="Arial" w:hAnsi="Arial" w:cs="Arial"/>
                <w:sz w:val="20"/>
                <w:szCs w:val="20"/>
              </w:rPr>
              <w:t>695</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Estimated Energy Savings (therms/yr)</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w:t>
            </w:r>
          </w:p>
        </w:tc>
        <w:tc>
          <w:tcPr>
            <w:tcW w:w="2937" w:type="dxa"/>
            <w:tcBorders>
              <w:top w:val="nil"/>
              <w:left w:val="nil"/>
              <w:bottom w:val="single" w:sz="4" w:space="0" w:color="auto"/>
              <w:right w:val="single" w:sz="4" w:space="0" w:color="auto"/>
            </w:tcBorders>
            <w:shd w:val="clear" w:color="auto" w:fill="FFFFFF"/>
            <w:noWrap/>
            <w:vAlign w:val="center"/>
          </w:tcPr>
          <w:p w:rsidR="003B67F8" w:rsidRPr="00AC3C6E" w:rsidRDefault="00596F88" w:rsidP="001C4039">
            <w:pPr>
              <w:jc w:val="center"/>
              <w:rPr>
                <w:rFonts w:ascii="Arial" w:hAnsi="Arial" w:cs="Arial"/>
                <w:b/>
                <w:sz w:val="20"/>
                <w:szCs w:val="20"/>
              </w:rPr>
            </w:pPr>
            <w:r w:rsidRPr="002B1B37">
              <w:rPr>
                <w:rFonts w:ascii="Arial" w:hAnsi="Arial" w:cs="Arial"/>
                <w:b/>
                <w:sz w:val="20"/>
                <w:szCs w:val="20"/>
              </w:rPr>
              <w:t>357</w:t>
            </w:r>
          </w:p>
        </w:tc>
      </w:tr>
      <w:tr w:rsidR="003B67F8" w:rsidTr="001C4039">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Default="003B67F8" w:rsidP="001C4039">
            <w:pPr>
              <w:rPr>
                <w:rFonts w:ascii="Arial" w:hAnsi="Arial" w:cs="Arial"/>
                <w:sz w:val="20"/>
                <w:szCs w:val="20"/>
              </w:rPr>
            </w:pPr>
            <w:r>
              <w:rPr>
                <w:rFonts w:ascii="Arial" w:hAnsi="Arial" w:cs="Arial"/>
                <w:sz w:val="20"/>
                <w:szCs w:val="20"/>
              </w:rPr>
              <w:t>Estimated Useful Life (EUL)</w:t>
            </w:r>
            <w:r w:rsidR="0044292C">
              <w:rPr>
                <w:rFonts w:ascii="Arial" w:hAnsi="Arial" w:cs="Arial"/>
                <w:sz w:val="20"/>
                <w:szCs w:val="20"/>
                <w:vertAlign w:val="superscript"/>
              </w:rPr>
              <w:t>c</w:t>
            </w:r>
          </w:p>
        </w:tc>
        <w:tc>
          <w:tcPr>
            <w:tcW w:w="1684"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c>
          <w:tcPr>
            <w:tcW w:w="2937" w:type="dxa"/>
            <w:tcBorders>
              <w:top w:val="nil"/>
              <w:left w:val="nil"/>
              <w:bottom w:val="single" w:sz="4" w:space="0" w:color="auto"/>
              <w:right w:val="single" w:sz="4" w:space="0" w:color="auto"/>
            </w:tcBorders>
            <w:shd w:val="clear" w:color="auto" w:fill="FFFFFF"/>
            <w:noWrap/>
            <w:vAlign w:val="center"/>
          </w:tcPr>
          <w:p w:rsidR="003B67F8" w:rsidRDefault="003B67F8" w:rsidP="001C4039">
            <w:pPr>
              <w:jc w:val="center"/>
              <w:rPr>
                <w:rFonts w:ascii="Arial" w:hAnsi="Arial" w:cs="Arial"/>
                <w:sz w:val="20"/>
                <w:szCs w:val="20"/>
              </w:rPr>
            </w:pPr>
            <w:r>
              <w:rPr>
                <w:rFonts w:ascii="Arial" w:hAnsi="Arial" w:cs="Arial"/>
                <w:sz w:val="20"/>
                <w:szCs w:val="20"/>
              </w:rPr>
              <w:t>12 years</w:t>
            </w:r>
          </w:p>
        </w:tc>
      </w:tr>
    </w:tbl>
    <w:p w:rsidR="0044292C" w:rsidRPr="00A4002B" w:rsidRDefault="0044292C" w:rsidP="0044292C">
      <w:pPr>
        <w:rPr>
          <w:sz w:val="18"/>
          <w:szCs w:val="18"/>
        </w:rPr>
      </w:pPr>
      <w:r w:rsidRPr="00A4002B">
        <w:rPr>
          <w:sz w:val="18"/>
          <w:szCs w:val="18"/>
        </w:rPr>
        <w:t>a</w:t>
      </w:r>
      <w:r w:rsidRPr="00A4002B">
        <w:rPr>
          <w:sz w:val="18"/>
          <w:szCs w:val="18"/>
          <w:lang w:val="x-none" w:eastAsia="x-none"/>
        </w:rPr>
        <w:t xml:space="preserve"> This is the average value calculated by FSTC through ASTM F1496 test </w:t>
      </w:r>
      <w:r w:rsidRPr="00A4002B">
        <w:rPr>
          <w:sz w:val="18"/>
          <w:szCs w:val="18"/>
          <w:lang w:eastAsia="x-none"/>
        </w:rPr>
        <w:t xml:space="preserve">through weight and temperature measurement of test product cooked in convection ovens </w:t>
      </w:r>
      <w:r w:rsidRPr="00A4002B">
        <w:rPr>
          <w:sz w:val="18"/>
          <w:szCs w:val="18"/>
          <w:lang w:val="x-none" w:eastAsia="x-none"/>
        </w:rPr>
        <w:t>(250 Btu/lb for russet potato</w:t>
      </w:r>
      <w:r w:rsidRPr="00A4002B">
        <w:rPr>
          <w:sz w:val="18"/>
          <w:szCs w:val="18"/>
          <w:lang w:eastAsia="x-none"/>
        </w:rPr>
        <w:t>)</w:t>
      </w:r>
    </w:p>
    <w:p w:rsidR="0044292C" w:rsidRPr="00A4002B" w:rsidRDefault="00D1774C" w:rsidP="0044292C">
      <w:pPr>
        <w:rPr>
          <w:sz w:val="18"/>
          <w:szCs w:val="18"/>
        </w:rPr>
      </w:pPr>
      <w:hyperlink r:id="rId22" w:history="1">
        <w:r w:rsidR="0044292C" w:rsidRPr="00A4002B">
          <w:rPr>
            <w:rStyle w:val="Hyperlink"/>
            <w:sz w:val="18"/>
            <w:szCs w:val="18"/>
            <w:lang w:eastAsia="x-none"/>
          </w:rPr>
          <w:t>http://www.fishnick.com/publications/appliancereports/convectionovens/</w:t>
        </w:r>
      </w:hyperlink>
    </w:p>
    <w:p w:rsidR="0044292C" w:rsidRPr="00A4002B" w:rsidRDefault="0044292C" w:rsidP="0044292C">
      <w:pPr>
        <w:rPr>
          <w:sz w:val="18"/>
          <w:szCs w:val="18"/>
        </w:rPr>
      </w:pPr>
      <w:r w:rsidRPr="00A4002B">
        <w:rPr>
          <w:sz w:val="18"/>
          <w:szCs w:val="18"/>
        </w:rPr>
        <w:t>b 1 therm = 100,000 Btu..</w:t>
      </w:r>
    </w:p>
    <w:p w:rsidR="003B67F8" w:rsidRPr="00C35A24" w:rsidRDefault="0044292C" w:rsidP="0044292C">
      <w:pPr>
        <w:rPr>
          <w:sz w:val="18"/>
          <w:szCs w:val="20"/>
        </w:rPr>
      </w:pPr>
      <w:r w:rsidRPr="00A4002B">
        <w:rPr>
          <w:sz w:val="18"/>
          <w:szCs w:val="18"/>
          <w:vertAlign w:val="superscript"/>
          <w:lang w:val="x-none" w:eastAsia="x-none"/>
        </w:rPr>
        <w:t xml:space="preserve">C </w:t>
      </w:r>
      <w:r w:rsidRPr="00A4002B">
        <w:rPr>
          <w:sz w:val="18"/>
          <w:szCs w:val="18"/>
          <w:lang w:val="x-none" w:eastAsia="x-none"/>
        </w:rPr>
        <w:t>The es</w:t>
      </w:r>
      <w:r w:rsidR="00690C32">
        <w:rPr>
          <w:sz w:val="18"/>
          <w:szCs w:val="18"/>
          <w:lang w:val="x-none" w:eastAsia="x-none"/>
        </w:rPr>
        <w:t>timated useful life is based on</w:t>
      </w:r>
      <w:r w:rsidRPr="00A4002B">
        <w:rPr>
          <w:sz w:val="18"/>
          <w:szCs w:val="18"/>
          <w:lang w:val="x-none" w:eastAsia="x-none"/>
        </w:rPr>
        <w:t xml:space="preserve"> DEER EUL estimates.</w:t>
      </w:r>
    </w:p>
    <w:p w:rsidR="003B67F8" w:rsidRPr="00C35A24" w:rsidRDefault="003B67F8" w:rsidP="003B67F8">
      <w:pPr>
        <w:pStyle w:val="Table"/>
        <w:rPr>
          <w:lang w:val="en-US"/>
        </w:rPr>
      </w:pPr>
    </w:p>
    <w:p w:rsidR="00187CC3" w:rsidRDefault="00187CC3" w:rsidP="006804DB">
      <w:pPr>
        <w:pStyle w:val="Caption"/>
        <w:keepNext/>
        <w:jc w:val="center"/>
        <w:rPr>
          <w:sz w:val="24"/>
          <w:szCs w:val="24"/>
          <w:lang w:val="en-US"/>
        </w:rPr>
      </w:pPr>
    </w:p>
    <w:p w:rsidR="00187CC3" w:rsidRDefault="00187CC3" w:rsidP="006804DB">
      <w:pPr>
        <w:pStyle w:val="Caption"/>
        <w:keepNext/>
        <w:jc w:val="center"/>
        <w:rPr>
          <w:sz w:val="24"/>
          <w:szCs w:val="24"/>
          <w:lang w:val="en-US"/>
        </w:rPr>
      </w:pPr>
    </w:p>
    <w:p w:rsidR="000C1136" w:rsidRPr="006804DB" w:rsidRDefault="006804DB" w:rsidP="006804DB">
      <w:pPr>
        <w:pStyle w:val="Caption"/>
        <w:keepNext/>
        <w:jc w:val="center"/>
        <w:rPr>
          <w:sz w:val="24"/>
          <w:szCs w:val="24"/>
          <w:lang w:val="en-US"/>
        </w:rPr>
      </w:pPr>
      <w:bookmarkStart w:id="70" w:name="_Toc458439268"/>
      <w:r w:rsidRPr="006804DB">
        <w:rPr>
          <w:sz w:val="24"/>
          <w:szCs w:val="24"/>
        </w:rPr>
        <w:t>Table</w:t>
      </w:r>
      <w:r w:rsidRPr="006804DB">
        <w:rPr>
          <w:sz w:val="24"/>
          <w:szCs w:val="24"/>
          <w:lang w:val="en-US"/>
        </w:rPr>
        <w:t>-</w:t>
      </w:r>
      <w:r w:rsidR="000C1136" w:rsidRPr="006804DB">
        <w:rPr>
          <w:sz w:val="24"/>
          <w:szCs w:val="24"/>
        </w:rPr>
        <w:fldChar w:fldCharType="begin"/>
      </w:r>
      <w:r w:rsidR="000C1136" w:rsidRPr="006804DB">
        <w:rPr>
          <w:sz w:val="24"/>
          <w:szCs w:val="24"/>
        </w:rPr>
        <w:instrText xml:space="preserve"> SEQ Table \* ARABIC </w:instrText>
      </w:r>
      <w:r w:rsidR="000C1136" w:rsidRPr="006804DB">
        <w:rPr>
          <w:sz w:val="24"/>
          <w:szCs w:val="24"/>
        </w:rPr>
        <w:fldChar w:fldCharType="separate"/>
      </w:r>
      <w:r w:rsidR="005B57BE">
        <w:rPr>
          <w:noProof/>
          <w:sz w:val="24"/>
          <w:szCs w:val="24"/>
        </w:rPr>
        <w:t>14</w:t>
      </w:r>
      <w:r w:rsidR="000C1136" w:rsidRPr="006804DB">
        <w:rPr>
          <w:sz w:val="24"/>
          <w:szCs w:val="24"/>
        </w:rPr>
        <w:fldChar w:fldCharType="end"/>
      </w:r>
      <w:r w:rsidRPr="006804DB">
        <w:rPr>
          <w:sz w:val="24"/>
          <w:szCs w:val="24"/>
          <w:lang w:val="en-US"/>
        </w:rPr>
        <w:t xml:space="preserve">: </w:t>
      </w:r>
      <w:r w:rsidR="000C1136" w:rsidRPr="006804DB">
        <w:rPr>
          <w:sz w:val="24"/>
          <w:szCs w:val="24"/>
        </w:rPr>
        <w:t>Commercial Gas Large Full-Size Convection Oven Cost Effectiveness Example</w:t>
      </w:r>
      <w:bookmarkEnd w:id="70"/>
    </w:p>
    <w:tbl>
      <w:tblPr>
        <w:tblW w:w="9012" w:type="dxa"/>
        <w:jc w:val="center"/>
        <w:tblLook w:val="0000" w:firstRow="0" w:lastRow="0" w:firstColumn="0" w:lastColumn="0" w:noHBand="0" w:noVBand="0"/>
      </w:tblPr>
      <w:tblGrid>
        <w:gridCol w:w="4391"/>
        <w:gridCol w:w="1684"/>
        <w:gridCol w:w="2937"/>
      </w:tblGrid>
      <w:tr w:rsidR="003B67F8" w:rsidTr="006804DB">
        <w:trPr>
          <w:trHeight w:val="432"/>
          <w:jc w:val="center"/>
        </w:trPr>
        <w:tc>
          <w:tcPr>
            <w:tcW w:w="439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b/>
                <w:bCs/>
              </w:rPr>
            </w:pPr>
            <w:r w:rsidRPr="001400D2">
              <w:rPr>
                <w:rFonts w:ascii="Arial" w:hAnsi="Arial" w:cs="Arial"/>
                <w:b/>
                <w:bCs/>
              </w:rPr>
              <w:t>Performance</w:t>
            </w:r>
          </w:p>
        </w:tc>
        <w:tc>
          <w:tcPr>
            <w:tcW w:w="1684" w:type="dxa"/>
            <w:tcBorders>
              <w:top w:val="single" w:sz="4" w:space="0" w:color="auto"/>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b/>
                <w:bCs/>
              </w:rPr>
            </w:pPr>
            <w:r w:rsidRPr="001400D2">
              <w:rPr>
                <w:rFonts w:ascii="Arial" w:hAnsi="Arial" w:cs="Arial"/>
                <w:b/>
                <w:bCs/>
              </w:rPr>
              <w:t>Base Model</w:t>
            </w:r>
          </w:p>
        </w:tc>
        <w:tc>
          <w:tcPr>
            <w:tcW w:w="2937" w:type="dxa"/>
            <w:tcBorders>
              <w:top w:val="single" w:sz="4" w:space="0" w:color="auto"/>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b/>
                <w:bCs/>
              </w:rPr>
            </w:pPr>
            <w:r w:rsidRPr="001400D2">
              <w:rPr>
                <w:rFonts w:ascii="Arial" w:hAnsi="Arial" w:cs="Arial"/>
                <w:b/>
                <w:bCs/>
              </w:rPr>
              <w:t>Energy Efficient Model</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Preheat Energy (Btu)</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21,000</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11,000</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Idle Energy Rate (Btu/hr)</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21,000</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13,000</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Cooking-Energy Efficiency (%)</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30%</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46%</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Production Capacity (lb/hr)</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100</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100</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Operating Hours/Day</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12</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12</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Operating Days/Year</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365</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365</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Number of Preheats per Day</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Pounds of Food Cooked per Day</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100</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100</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ASTM Energy to Food (Btu/lb)</w:t>
            </w:r>
            <w:r w:rsidR="003A1F74" w:rsidRPr="001400D2">
              <w:rPr>
                <w:rFonts w:ascii="Arial" w:hAnsi="Arial" w:cs="Arial"/>
                <w:sz w:val="20"/>
                <w:szCs w:val="20"/>
                <w:vertAlign w:val="superscript"/>
              </w:rPr>
              <w:t>a</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250</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250</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Daily Energy Consumption (Btu)</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330,083</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205,098</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Annual Energy Consumption (therms)</w:t>
            </w:r>
            <w:r w:rsidR="003A1F74" w:rsidRPr="001400D2">
              <w:rPr>
                <w:rFonts w:ascii="Arial" w:hAnsi="Arial" w:cs="Arial"/>
                <w:sz w:val="20"/>
                <w:szCs w:val="20"/>
                <w:vertAlign w:val="superscript"/>
              </w:rPr>
              <w:t>b</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1,205</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749</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Estimated Energy Savings (therms/yr)</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b/>
                <w:sz w:val="20"/>
                <w:szCs w:val="20"/>
              </w:rPr>
            </w:pPr>
            <w:r w:rsidRPr="001400D2">
              <w:rPr>
                <w:rFonts w:ascii="Arial" w:hAnsi="Arial" w:cs="Arial"/>
                <w:b/>
                <w:sz w:val="20"/>
                <w:szCs w:val="20"/>
              </w:rPr>
              <w:t>456</w:t>
            </w:r>
          </w:p>
        </w:tc>
      </w:tr>
      <w:tr w:rsidR="003B67F8" w:rsidTr="006804DB">
        <w:trPr>
          <w:trHeight w:val="288"/>
          <w:jc w:val="center"/>
        </w:trPr>
        <w:tc>
          <w:tcPr>
            <w:tcW w:w="4391" w:type="dxa"/>
            <w:tcBorders>
              <w:top w:val="nil"/>
              <w:left w:val="single" w:sz="4" w:space="0" w:color="auto"/>
              <w:bottom w:val="single" w:sz="4" w:space="0" w:color="auto"/>
              <w:right w:val="single" w:sz="4" w:space="0" w:color="auto"/>
            </w:tcBorders>
            <w:shd w:val="clear" w:color="auto" w:fill="FFFFFF"/>
            <w:noWrap/>
            <w:vAlign w:val="center"/>
          </w:tcPr>
          <w:p w:rsidR="003B67F8" w:rsidRPr="001400D2" w:rsidRDefault="003B67F8" w:rsidP="001C4039">
            <w:pPr>
              <w:rPr>
                <w:rFonts w:ascii="Arial" w:hAnsi="Arial" w:cs="Arial"/>
                <w:sz w:val="20"/>
                <w:szCs w:val="20"/>
              </w:rPr>
            </w:pPr>
            <w:r w:rsidRPr="001400D2">
              <w:rPr>
                <w:rFonts w:ascii="Arial" w:hAnsi="Arial" w:cs="Arial"/>
                <w:sz w:val="20"/>
                <w:szCs w:val="20"/>
              </w:rPr>
              <w:t>Estimated Useful Life (EUL)</w:t>
            </w:r>
            <w:r w:rsidR="003A1F74" w:rsidRPr="001400D2">
              <w:rPr>
                <w:rFonts w:ascii="Arial" w:hAnsi="Arial" w:cs="Arial"/>
                <w:sz w:val="20"/>
                <w:szCs w:val="20"/>
                <w:vertAlign w:val="superscript"/>
              </w:rPr>
              <w:t>c</w:t>
            </w:r>
          </w:p>
        </w:tc>
        <w:tc>
          <w:tcPr>
            <w:tcW w:w="1684"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12 years</w:t>
            </w:r>
          </w:p>
        </w:tc>
        <w:tc>
          <w:tcPr>
            <w:tcW w:w="2937" w:type="dxa"/>
            <w:tcBorders>
              <w:top w:val="nil"/>
              <w:left w:val="nil"/>
              <w:bottom w:val="single" w:sz="4" w:space="0" w:color="auto"/>
              <w:right w:val="single" w:sz="4" w:space="0" w:color="auto"/>
            </w:tcBorders>
            <w:shd w:val="clear" w:color="auto" w:fill="FFFFFF"/>
            <w:noWrap/>
            <w:vAlign w:val="center"/>
          </w:tcPr>
          <w:p w:rsidR="003B67F8" w:rsidRPr="001400D2" w:rsidRDefault="003B67F8" w:rsidP="001C4039">
            <w:pPr>
              <w:jc w:val="center"/>
              <w:rPr>
                <w:rFonts w:ascii="Arial" w:hAnsi="Arial" w:cs="Arial"/>
                <w:sz w:val="20"/>
                <w:szCs w:val="20"/>
              </w:rPr>
            </w:pPr>
            <w:r w:rsidRPr="001400D2">
              <w:rPr>
                <w:rFonts w:ascii="Arial" w:hAnsi="Arial" w:cs="Arial"/>
                <w:sz w:val="20"/>
                <w:szCs w:val="20"/>
              </w:rPr>
              <w:t>12 years</w:t>
            </w:r>
          </w:p>
        </w:tc>
      </w:tr>
    </w:tbl>
    <w:p w:rsidR="002E23B0" w:rsidRPr="009456DF" w:rsidRDefault="002E23B0" w:rsidP="002E23B0">
      <w:pPr>
        <w:rPr>
          <w:sz w:val="18"/>
          <w:szCs w:val="18"/>
          <w:lang w:eastAsia="x-none"/>
        </w:rPr>
      </w:pPr>
      <w:r w:rsidRPr="009456DF">
        <w:rPr>
          <w:sz w:val="18"/>
          <w:szCs w:val="18"/>
        </w:rPr>
        <w:t xml:space="preserve">    </w:t>
      </w:r>
      <w:r w:rsidR="003A1F74" w:rsidRPr="009456DF">
        <w:rPr>
          <w:sz w:val="18"/>
          <w:szCs w:val="18"/>
        </w:rPr>
        <w:t>a</w:t>
      </w:r>
      <w:r w:rsidR="003A1F74" w:rsidRPr="009456DF">
        <w:rPr>
          <w:sz w:val="18"/>
          <w:szCs w:val="18"/>
          <w:lang w:val="x-none" w:eastAsia="x-none"/>
        </w:rPr>
        <w:t xml:space="preserve"> This is the average value calculated by FSTC through ASTM F1496 test </w:t>
      </w:r>
      <w:r w:rsidR="003A1F74" w:rsidRPr="009456DF">
        <w:rPr>
          <w:sz w:val="18"/>
          <w:szCs w:val="18"/>
          <w:lang w:eastAsia="x-none"/>
        </w:rPr>
        <w:t xml:space="preserve">through weight and temperature </w:t>
      </w:r>
      <w:r w:rsidR="00170558" w:rsidRPr="009456DF">
        <w:rPr>
          <w:sz w:val="18"/>
          <w:szCs w:val="18"/>
          <w:lang w:eastAsia="x-none"/>
        </w:rPr>
        <w:t xml:space="preserve"> </w:t>
      </w:r>
    </w:p>
    <w:p w:rsidR="003A1F74" w:rsidRPr="009456DF" w:rsidRDefault="002E23B0" w:rsidP="002E23B0">
      <w:pPr>
        <w:rPr>
          <w:sz w:val="18"/>
          <w:szCs w:val="18"/>
        </w:rPr>
      </w:pPr>
      <w:r w:rsidRPr="009456DF">
        <w:rPr>
          <w:sz w:val="18"/>
          <w:szCs w:val="18"/>
          <w:lang w:eastAsia="x-none"/>
        </w:rPr>
        <w:t xml:space="preserve">    measurement of test product cooked in convection ovens </w:t>
      </w:r>
      <w:r w:rsidRPr="009456DF">
        <w:rPr>
          <w:sz w:val="18"/>
          <w:szCs w:val="18"/>
          <w:lang w:val="x-none" w:eastAsia="x-none"/>
        </w:rPr>
        <w:t>(250 Btu/lb for russet potato</w:t>
      </w:r>
      <w:r w:rsidRPr="009456DF">
        <w:rPr>
          <w:sz w:val="18"/>
          <w:szCs w:val="18"/>
          <w:lang w:eastAsia="x-none"/>
        </w:rPr>
        <w:t>)</w:t>
      </w:r>
      <w:r w:rsidR="00170558" w:rsidRPr="009456DF">
        <w:rPr>
          <w:sz w:val="18"/>
          <w:szCs w:val="18"/>
          <w:lang w:eastAsia="x-none"/>
        </w:rPr>
        <w:t xml:space="preserve">                </w:t>
      </w:r>
      <w:r w:rsidRPr="009456DF">
        <w:rPr>
          <w:sz w:val="18"/>
          <w:szCs w:val="18"/>
          <w:lang w:eastAsia="x-none"/>
        </w:rPr>
        <w:t xml:space="preserve">     </w:t>
      </w:r>
    </w:p>
    <w:p w:rsidR="003A1F74" w:rsidRPr="009456DF" w:rsidRDefault="002E23B0" w:rsidP="002E23B0">
      <w:pPr>
        <w:rPr>
          <w:sz w:val="18"/>
          <w:szCs w:val="18"/>
        </w:rPr>
      </w:pPr>
      <w:r w:rsidRPr="009456DF">
        <w:rPr>
          <w:sz w:val="18"/>
          <w:szCs w:val="18"/>
          <w:lang w:eastAsia="x-none"/>
        </w:rPr>
        <w:t xml:space="preserve">    </w:t>
      </w:r>
      <w:hyperlink r:id="rId23" w:history="1">
        <w:r w:rsidR="003A1F74" w:rsidRPr="009456DF">
          <w:rPr>
            <w:rStyle w:val="Hyperlink"/>
            <w:sz w:val="18"/>
            <w:szCs w:val="18"/>
            <w:lang w:eastAsia="x-none"/>
          </w:rPr>
          <w:t>http://www.fishnick.com/publications/appliancereports/convectionovens/</w:t>
        </w:r>
      </w:hyperlink>
    </w:p>
    <w:p w:rsidR="003A1F74" w:rsidRPr="009456DF" w:rsidRDefault="002E23B0" w:rsidP="002E23B0">
      <w:pPr>
        <w:rPr>
          <w:sz w:val="18"/>
          <w:szCs w:val="18"/>
        </w:rPr>
      </w:pPr>
      <w:r w:rsidRPr="009456DF">
        <w:rPr>
          <w:sz w:val="18"/>
          <w:szCs w:val="18"/>
        </w:rPr>
        <w:t xml:space="preserve">    </w:t>
      </w:r>
      <w:r w:rsidR="003A1F74" w:rsidRPr="009456DF">
        <w:rPr>
          <w:sz w:val="18"/>
          <w:szCs w:val="18"/>
        </w:rPr>
        <w:t>b 1 therm = 100,000 Btu..</w:t>
      </w:r>
    </w:p>
    <w:p w:rsidR="003B67F8" w:rsidRDefault="002E23B0" w:rsidP="002E23B0">
      <w:pPr>
        <w:rPr>
          <w:sz w:val="18"/>
          <w:szCs w:val="20"/>
        </w:rPr>
      </w:pPr>
      <w:r w:rsidRPr="009456DF">
        <w:rPr>
          <w:sz w:val="18"/>
          <w:szCs w:val="18"/>
          <w:vertAlign w:val="superscript"/>
          <w:lang w:eastAsia="x-none"/>
        </w:rPr>
        <w:t xml:space="preserve">     </w:t>
      </w:r>
      <w:r w:rsidR="003A1F74" w:rsidRPr="009456DF">
        <w:rPr>
          <w:sz w:val="18"/>
          <w:szCs w:val="18"/>
          <w:vertAlign w:val="superscript"/>
          <w:lang w:val="x-none" w:eastAsia="x-none"/>
        </w:rPr>
        <w:t xml:space="preserve">C </w:t>
      </w:r>
      <w:r w:rsidR="003A1F74" w:rsidRPr="009456DF">
        <w:rPr>
          <w:sz w:val="18"/>
          <w:szCs w:val="18"/>
          <w:lang w:val="x-none" w:eastAsia="x-none"/>
        </w:rPr>
        <w:t>The es</w:t>
      </w:r>
      <w:r w:rsidR="00690C32">
        <w:rPr>
          <w:sz w:val="18"/>
          <w:szCs w:val="18"/>
          <w:lang w:val="x-none" w:eastAsia="x-none"/>
        </w:rPr>
        <w:t>timated useful life is based o</w:t>
      </w:r>
      <w:r w:rsidR="00690C32">
        <w:rPr>
          <w:sz w:val="18"/>
          <w:szCs w:val="18"/>
          <w:lang w:eastAsia="x-none"/>
        </w:rPr>
        <w:t>n</w:t>
      </w:r>
      <w:r w:rsidR="003A1F74" w:rsidRPr="009456DF">
        <w:rPr>
          <w:sz w:val="18"/>
          <w:szCs w:val="18"/>
          <w:lang w:val="x-none" w:eastAsia="x-none"/>
        </w:rPr>
        <w:t xml:space="preserve"> DEER EUL estimates.</w:t>
      </w:r>
    </w:p>
    <w:p w:rsidR="003B67F8" w:rsidRDefault="003B67F8" w:rsidP="003B67F8">
      <w:pPr>
        <w:rPr>
          <w:sz w:val="18"/>
          <w:szCs w:val="16"/>
        </w:rPr>
      </w:pPr>
    </w:p>
    <w:p w:rsidR="003B67F8" w:rsidRDefault="003B67F8" w:rsidP="003B67F8">
      <w:pPr>
        <w:rPr>
          <w:sz w:val="18"/>
          <w:vertAlign w:val="superscript"/>
        </w:rPr>
      </w:pPr>
    </w:p>
    <w:p w:rsidR="003B67F8" w:rsidRPr="00CE0052" w:rsidRDefault="003B67F8" w:rsidP="003B67F8">
      <w:pPr>
        <w:keepNext/>
        <w:rPr>
          <w:rFonts w:ascii="Arial" w:hAnsi="Arial" w:cs="Arial"/>
          <w:b/>
        </w:rPr>
      </w:pPr>
      <w:r w:rsidRPr="00CE0052">
        <w:rPr>
          <w:rFonts w:ascii="Arial" w:hAnsi="Arial" w:cs="Arial"/>
          <w:b/>
        </w:rPr>
        <w:t>Daily Energy Consumption Calculation and Definitions</w:t>
      </w:r>
    </w:p>
    <w:p w:rsidR="003B67F8" w:rsidRDefault="003B67F8" w:rsidP="003B67F8">
      <w:pPr>
        <w:keepNext/>
        <w:rPr>
          <w:rFonts w:ascii="Arial" w:hAnsi="Arial" w:cs="Arial"/>
          <w:b/>
          <w:sz w:val="16"/>
          <w:szCs w:val="16"/>
        </w:rPr>
      </w:pPr>
    </w:p>
    <w:p w:rsidR="00357E02" w:rsidRPr="00990134" w:rsidRDefault="00A9322B" w:rsidP="00357E02">
      <w:pPr>
        <w:spacing w:before="120" w:after="120"/>
        <w:rPr>
          <w:rFonts w:ascii="Arial" w:hAnsi="Arial" w:cs="Arial"/>
          <w:b/>
          <w:i/>
          <w:sz w:val="18"/>
          <w:szCs w:val="18"/>
        </w:rPr>
      </w:pPr>
      <m:oMathPara>
        <m:oMathParaPr>
          <m:jc m:val="left"/>
        </m:oMathParaPr>
        <m:oMath>
          <m:r>
            <m:rPr>
              <m:sty m:val="b"/>
            </m:rPr>
            <w:rPr>
              <w:rFonts w:ascii="Cambria Math" w:hAnsi="Cambria Math"/>
              <w:sz w:val="18"/>
              <w:szCs w:val="18"/>
              <w:lang w:val="x-none" w:eastAsia="x-none"/>
            </w:rPr>
            <m:t xml:space="preserve">EDAY=convection cooking energy+ convection idle energy+preheat energy </m:t>
          </m:r>
        </m:oMath>
      </m:oMathPara>
    </w:p>
    <w:p w:rsidR="00357E02" w:rsidRPr="00510412" w:rsidRDefault="00357E02" w:rsidP="00357E02">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convection 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LBFOOD  ×</m:t>
                  </m:r>
                  <m:sSub>
                    <m:sSubPr>
                      <m:ctrlPr>
                        <w:rPr>
                          <w:rFonts w:ascii="Cambria Math" w:hAnsi="Cambria Math" w:cs="Arial"/>
                          <w:b/>
                          <w:i/>
                          <w:sz w:val="18"/>
                          <w:szCs w:val="18"/>
                        </w:rPr>
                      </m:ctrlPr>
                    </m:sSubPr>
                    <m:e>
                      <m:r>
                        <m:rPr>
                          <m:sty m:val="bi"/>
                        </m:rPr>
                        <w:rPr>
                          <w:rFonts w:ascii="Cambria Math" w:hAnsi="Cambria Math" w:cs="Arial"/>
                          <w:sz w:val="18"/>
                          <w:szCs w:val="18"/>
                        </w:rPr>
                        <m:t>EFOOD</m:t>
                      </m:r>
                    </m:e>
                    <m:sub>
                      <m:r>
                        <m:rPr>
                          <m:sty m:val="bi"/>
                        </m:rPr>
                        <w:rPr>
                          <w:rFonts w:ascii="Cambria Math" w:hAnsi="Cambria Math" w:cs="Arial"/>
                          <w:sz w:val="18"/>
                          <w:szCs w:val="18"/>
                        </w:rPr>
                        <m:t>convection</m:t>
                      </m:r>
                    </m:sub>
                  </m:sSub>
                </m:num>
                <m:den>
                  <m:f>
                    <m:fPr>
                      <m:ctrlPr>
                        <w:rPr>
                          <w:rFonts w:ascii="Cambria Math" w:hAnsi="Cambria Math" w:cs="Arial"/>
                          <w:b/>
                          <w:i/>
                          <w:sz w:val="18"/>
                          <w:szCs w:val="18"/>
                        </w:rPr>
                      </m:ctrlPr>
                    </m:fPr>
                    <m:num>
                      <m:sSub>
                        <m:sSubPr>
                          <m:ctrlPr>
                            <w:rPr>
                              <w:rFonts w:ascii="Cambria Math" w:hAnsi="Cambria Math" w:cs="Arial"/>
                              <w:b/>
                              <w:i/>
                              <w:sz w:val="18"/>
                              <w:szCs w:val="18"/>
                            </w:rPr>
                          </m:ctrlPr>
                        </m:sSubPr>
                        <m:e>
                          <m:r>
                            <m:rPr>
                              <m:sty m:val="bi"/>
                            </m:rPr>
                            <w:rPr>
                              <w:rFonts w:ascii="Cambria Math" w:hAnsi="Cambria Math" w:cs="Arial"/>
                              <w:sz w:val="18"/>
                              <w:szCs w:val="18"/>
                            </w:rPr>
                            <m:t>EFFICIENCY</m:t>
                          </m:r>
                        </m:e>
                        <m:sub>
                          <m:r>
                            <m:rPr>
                              <m:sty m:val="bi"/>
                            </m:rPr>
                            <w:rPr>
                              <w:rFonts w:ascii="Cambria Math" w:hAnsi="Cambria Math" w:cs="Arial"/>
                              <w:sz w:val="18"/>
                              <w:szCs w:val="18"/>
                            </w:rPr>
                            <m:t>convection</m:t>
                          </m:r>
                        </m:sub>
                      </m:sSub>
                    </m:num>
                    <m:den>
                      <m:r>
                        <m:rPr>
                          <m:sty m:val="bi"/>
                        </m:rPr>
                        <w:rPr>
                          <w:rFonts w:ascii="Cambria Math" w:hAnsi="Cambria Math" w:cs="Arial"/>
                          <w:sz w:val="18"/>
                          <w:szCs w:val="18"/>
                        </w:rPr>
                        <m:t>100</m:t>
                      </m:r>
                    </m:den>
                  </m:f>
                </m:den>
              </m:f>
            </m:e>
          </m:d>
        </m:oMath>
      </m:oMathPara>
    </w:p>
    <w:p w:rsidR="00357E02" w:rsidRPr="001003C2" w:rsidRDefault="00357E02" w:rsidP="00357E02">
      <w:pPr>
        <w:spacing w:before="120" w:after="120"/>
        <w:rPr>
          <w:rFonts w:ascii="Arial" w:hAnsi="Arial" w:cs="Arial"/>
          <w:b/>
          <w:i/>
          <w:sz w:val="20"/>
          <w:szCs w:val="20"/>
        </w:rPr>
      </w:pPr>
    </w:p>
    <w:p w:rsidR="00357E02" w:rsidRPr="009D5AE5" w:rsidRDefault="00357E02" w:rsidP="00357E02">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convection idle energy= </m:t>
          </m:r>
          <m:d>
            <m:dPr>
              <m:begChr m:val="["/>
              <m:endChr m:val="]"/>
              <m:ctrlPr>
                <w:rPr>
                  <w:rFonts w:ascii="Cambria Math" w:hAnsi="Cambria Math" w:cs="Arial"/>
                  <w:b/>
                  <w:i/>
                  <w:sz w:val="18"/>
                  <w:szCs w:val="18"/>
                </w:rPr>
              </m:ctrlPr>
            </m:dPr>
            <m:e>
              <m:sSub>
                <m:sSubPr>
                  <m:ctrlPr>
                    <w:rPr>
                      <w:rFonts w:ascii="Cambria Math" w:hAnsi="Cambria Math" w:cs="Arial"/>
                      <w:b/>
                      <w:i/>
                      <w:sz w:val="18"/>
                      <w:szCs w:val="18"/>
                    </w:rPr>
                  </m:ctrlPr>
                </m:sSubPr>
                <m:e>
                  <m:r>
                    <m:rPr>
                      <m:sty m:val="bi"/>
                    </m:rPr>
                    <w:rPr>
                      <w:rFonts w:ascii="Cambria Math" w:hAnsi="Cambria Math" w:cs="Arial"/>
                      <w:sz w:val="18"/>
                      <w:szCs w:val="18"/>
                    </w:rPr>
                    <m:t>IDLERATE</m:t>
                  </m:r>
                </m:e>
                <m:sub>
                  <m:r>
                    <m:rPr>
                      <m:sty m:val="bi"/>
                    </m:rPr>
                    <w:rPr>
                      <w:rFonts w:ascii="Cambria Math" w:hAnsi="Cambria Math" w:cs="Arial"/>
                      <w:sz w:val="18"/>
                      <w:szCs w:val="18"/>
                    </w:rPr>
                    <m:t>convection</m:t>
                  </m:r>
                </m:sub>
              </m:sSub>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EHOU-</m:t>
                  </m:r>
                  <m:f>
                    <m:fPr>
                      <m:ctrlPr>
                        <w:rPr>
                          <w:rFonts w:ascii="Cambria Math" w:hAnsi="Cambria Math" w:cs="Arial"/>
                          <w:b/>
                          <w:i/>
                          <w:sz w:val="18"/>
                          <w:szCs w:val="18"/>
                        </w:rPr>
                      </m:ctrlPr>
                    </m:fPr>
                    <m:num>
                      <m:r>
                        <m:rPr>
                          <m:sty m:val="bi"/>
                        </m:rPr>
                        <w:rPr>
                          <w:rFonts w:ascii="Cambria Math" w:hAnsi="Cambria Math" w:cs="Arial"/>
                          <w:sz w:val="18"/>
                          <w:szCs w:val="18"/>
                        </w:rPr>
                        <m:t>LBFOOD</m:t>
                      </m:r>
                    </m:num>
                    <m:den>
                      <m:sSub>
                        <m:sSubPr>
                          <m:ctrlPr>
                            <w:rPr>
                              <w:rFonts w:ascii="Cambria Math" w:hAnsi="Cambria Math" w:cs="Arial"/>
                              <w:b/>
                              <w:i/>
                              <w:sz w:val="18"/>
                              <w:szCs w:val="18"/>
                            </w:rPr>
                          </m:ctrlPr>
                        </m:sSubPr>
                        <m:e>
                          <m:r>
                            <m:rPr>
                              <m:sty m:val="bi"/>
                            </m:rPr>
                            <w:rPr>
                              <w:rFonts w:ascii="Cambria Math" w:hAnsi="Cambria Math" w:cs="Arial"/>
                              <w:sz w:val="18"/>
                              <w:szCs w:val="18"/>
                            </w:rPr>
                            <m:t>PC</m:t>
                          </m:r>
                        </m:e>
                        <m:sub>
                          <m:r>
                            <m:rPr>
                              <m:sty m:val="bi"/>
                            </m:rPr>
                            <w:rPr>
                              <w:rFonts w:ascii="Cambria Math" w:hAnsi="Cambria Math" w:cs="Arial"/>
                              <w:sz w:val="18"/>
                              <w:szCs w:val="18"/>
                            </w:rPr>
                            <m:t>convection</m:t>
                          </m:r>
                        </m:sub>
                      </m:sSub>
                    </m:den>
                  </m:f>
                  <m:r>
                    <m:rPr>
                      <m:sty m:val="bi"/>
                    </m:rPr>
                    <w:rPr>
                      <w:rFonts w:ascii="Cambria Math" w:hAnsi="Cambria Math" w:cs="Arial"/>
                      <w:sz w:val="18"/>
                      <w:szCs w:val="18"/>
                    </w:rPr>
                    <m:t>-(nP × TP/60)</m:t>
                  </m:r>
                </m:e>
              </m:d>
            </m:e>
          </m:d>
        </m:oMath>
      </m:oMathPara>
    </w:p>
    <w:p w:rsidR="00357E02" w:rsidRPr="009D5AE5" w:rsidRDefault="00357E02" w:rsidP="00357E02">
      <w:pPr>
        <w:spacing w:before="120" w:after="120"/>
        <w:rPr>
          <w:rFonts w:ascii="Arial" w:hAnsi="Arial" w:cs="Arial"/>
          <w:b/>
          <w:i/>
          <w:sz w:val="18"/>
          <w:szCs w:val="18"/>
        </w:rPr>
      </w:pPr>
    </w:p>
    <w:p w:rsidR="00357E02" w:rsidRPr="00990134" w:rsidRDefault="00357E02" w:rsidP="00357E02">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nP x EP</m:t>
              </m:r>
            </m:e>
          </m:d>
        </m:oMath>
      </m:oMathPara>
    </w:p>
    <w:p w:rsidR="00357E02" w:rsidRDefault="00357E02" w:rsidP="00357E02">
      <w:pPr>
        <w:rPr>
          <w:rFonts w:ascii="Arial" w:hAnsi="Arial" w:cs="Arial"/>
          <w:sz w:val="20"/>
          <w:szCs w:val="20"/>
        </w:rPr>
      </w:pPr>
    </w:p>
    <w:p w:rsidR="00357E02" w:rsidRPr="00510412" w:rsidRDefault="00357E02" w:rsidP="00357E02">
      <w:pPr>
        <w:rPr>
          <w:rFonts w:ascii="Arial" w:hAnsi="Arial" w:cs="Arial"/>
          <w:sz w:val="20"/>
          <w:szCs w:val="20"/>
        </w:rPr>
      </w:pPr>
      <w:r w:rsidRPr="00510412">
        <w:rPr>
          <w:rFonts w:ascii="Arial" w:hAnsi="Arial" w:cs="Arial"/>
          <w:sz w:val="20"/>
          <w:szCs w:val="20"/>
        </w:rPr>
        <w:t>Where:</w:t>
      </w:r>
    </w:p>
    <w:p w:rsidR="00357E02" w:rsidRPr="00510412" w:rsidRDefault="00357E02" w:rsidP="00357E02">
      <w:pPr>
        <w:rPr>
          <w:rFonts w:ascii="Arial" w:hAnsi="Arial" w:cs="Arial"/>
          <w:sz w:val="20"/>
          <w:szCs w:val="20"/>
        </w:rPr>
      </w:pPr>
    </w:p>
    <w:p w:rsidR="00357E02" w:rsidRPr="00510412" w:rsidRDefault="00357E02" w:rsidP="00357E02">
      <w:pPr>
        <w:rPr>
          <w:rFonts w:ascii="Arial" w:hAnsi="Arial" w:cs="Arial"/>
          <w:sz w:val="20"/>
          <w:szCs w:val="20"/>
        </w:rPr>
      </w:pPr>
      <w:r w:rsidRPr="00510412">
        <w:rPr>
          <w:rFonts w:ascii="Arial" w:hAnsi="Arial" w:cs="Arial"/>
          <w:sz w:val="20"/>
          <w:szCs w:val="20"/>
        </w:rPr>
        <w:t>EDAY =</w:t>
      </w:r>
      <w:r w:rsidRPr="00510412">
        <w:rPr>
          <w:rFonts w:ascii="Arial" w:hAnsi="Arial" w:cs="Arial"/>
          <w:sz w:val="20"/>
          <w:szCs w:val="20"/>
        </w:rPr>
        <w:tab/>
      </w:r>
      <w:r>
        <w:rPr>
          <w:rFonts w:ascii="Arial" w:hAnsi="Arial" w:cs="Arial"/>
          <w:sz w:val="20"/>
          <w:szCs w:val="20"/>
        </w:rPr>
        <w:t xml:space="preserve"> </w:t>
      </w:r>
      <w:r w:rsidRPr="00510412">
        <w:rPr>
          <w:rFonts w:ascii="Arial" w:hAnsi="Arial" w:cs="Arial"/>
          <w:sz w:val="20"/>
          <w:szCs w:val="20"/>
        </w:rPr>
        <w:t>Calculated Daily Energy Consumption (Btu/day)</w:t>
      </w:r>
    </w:p>
    <w:p w:rsidR="00357E02" w:rsidRPr="00510412" w:rsidRDefault="00357E02" w:rsidP="00357E02">
      <w:pPr>
        <w:rPr>
          <w:rFonts w:ascii="Arial" w:hAnsi="Arial" w:cs="Arial"/>
          <w:sz w:val="20"/>
          <w:szCs w:val="20"/>
        </w:rPr>
      </w:pPr>
      <w:r>
        <w:rPr>
          <w:rFonts w:ascii="Arial" w:hAnsi="Arial" w:cs="Arial"/>
          <w:sz w:val="20"/>
          <w:szCs w:val="20"/>
        </w:rPr>
        <w:t xml:space="preserve">LBFOOD = </w:t>
      </w:r>
      <w:r w:rsidRPr="00510412">
        <w:rPr>
          <w:rFonts w:ascii="Arial" w:hAnsi="Arial" w:cs="Arial"/>
          <w:sz w:val="20"/>
          <w:szCs w:val="20"/>
        </w:rPr>
        <w:t>Estimated Pounds of Food Cooked per Day</w:t>
      </w:r>
    </w:p>
    <w:p w:rsidR="00357E02" w:rsidRPr="00510412" w:rsidRDefault="00357E02" w:rsidP="00357E02">
      <w:pPr>
        <w:rPr>
          <w:rFonts w:ascii="Arial" w:hAnsi="Arial" w:cs="Arial"/>
          <w:sz w:val="20"/>
          <w:szCs w:val="20"/>
        </w:rPr>
      </w:pPr>
      <w:r>
        <w:rPr>
          <w:rFonts w:ascii="Arial" w:hAnsi="Arial" w:cs="Arial"/>
          <w:sz w:val="20"/>
          <w:szCs w:val="20"/>
        </w:rPr>
        <w:t xml:space="preserve">EFOOD = </w:t>
      </w:r>
      <w:r w:rsidRPr="00510412">
        <w:rPr>
          <w:rFonts w:ascii="Arial" w:hAnsi="Arial" w:cs="Arial"/>
          <w:sz w:val="20"/>
          <w:szCs w:val="20"/>
        </w:rPr>
        <w:t>ASTM Energy to Food (Btu/lb) = Btu/pound of energy absorbed by food product during cooking</w:t>
      </w:r>
    </w:p>
    <w:p w:rsidR="00357E02" w:rsidRPr="00510412" w:rsidRDefault="00357E02" w:rsidP="00357E02">
      <w:pPr>
        <w:rPr>
          <w:rFonts w:ascii="Arial" w:hAnsi="Arial" w:cs="Arial"/>
          <w:sz w:val="20"/>
          <w:szCs w:val="20"/>
        </w:rPr>
      </w:pPr>
      <w:r>
        <w:rPr>
          <w:rFonts w:ascii="Arial" w:hAnsi="Arial" w:cs="Arial"/>
          <w:sz w:val="20"/>
          <w:szCs w:val="20"/>
        </w:rPr>
        <w:t xml:space="preserve">EFFICIENCY= </w:t>
      </w:r>
      <w:r w:rsidRPr="00510412">
        <w:rPr>
          <w:rFonts w:ascii="Arial" w:hAnsi="Arial" w:cs="Arial"/>
          <w:sz w:val="20"/>
          <w:szCs w:val="20"/>
        </w:rPr>
        <w:t>Measured Heavy Load Cooking Energy Efficiency %</w:t>
      </w:r>
    </w:p>
    <w:p w:rsidR="00357E02" w:rsidRPr="00510412" w:rsidRDefault="00357E02" w:rsidP="00357E02">
      <w:pPr>
        <w:rPr>
          <w:rFonts w:ascii="Arial" w:hAnsi="Arial" w:cs="Arial"/>
          <w:sz w:val="20"/>
          <w:szCs w:val="20"/>
        </w:rPr>
      </w:pPr>
      <w:r>
        <w:rPr>
          <w:rFonts w:ascii="Arial" w:hAnsi="Arial" w:cs="Arial"/>
          <w:sz w:val="20"/>
          <w:szCs w:val="20"/>
        </w:rPr>
        <w:t xml:space="preserve">IDLE RATE= </w:t>
      </w:r>
      <w:r w:rsidRPr="00510412">
        <w:rPr>
          <w:rFonts w:ascii="Arial" w:hAnsi="Arial" w:cs="Arial"/>
          <w:sz w:val="20"/>
          <w:szCs w:val="20"/>
        </w:rPr>
        <w:t>Measured Idle Energy Rate (Btu/h)</w:t>
      </w:r>
    </w:p>
    <w:p w:rsidR="00357E02" w:rsidRPr="00510412" w:rsidRDefault="00357E02" w:rsidP="00357E02">
      <w:pPr>
        <w:rPr>
          <w:rFonts w:ascii="Arial" w:hAnsi="Arial" w:cs="Arial"/>
          <w:sz w:val="20"/>
          <w:szCs w:val="20"/>
        </w:rPr>
      </w:pPr>
      <w:r>
        <w:rPr>
          <w:rFonts w:ascii="Arial" w:hAnsi="Arial" w:cs="Arial"/>
          <w:sz w:val="20"/>
          <w:szCs w:val="20"/>
        </w:rPr>
        <w:t xml:space="preserve">EHOU= </w:t>
      </w:r>
      <w:r w:rsidRPr="00510412">
        <w:rPr>
          <w:rFonts w:ascii="Arial" w:hAnsi="Arial" w:cs="Arial"/>
          <w:sz w:val="20"/>
          <w:szCs w:val="20"/>
        </w:rPr>
        <w:t>Estimated Operating Hours/Day</w:t>
      </w:r>
    </w:p>
    <w:p w:rsidR="00357E02" w:rsidRPr="00510412" w:rsidRDefault="00357E02" w:rsidP="00357E02">
      <w:pPr>
        <w:rPr>
          <w:rFonts w:ascii="Arial" w:hAnsi="Arial" w:cs="Arial"/>
          <w:sz w:val="20"/>
          <w:szCs w:val="20"/>
        </w:rPr>
      </w:pPr>
      <w:r>
        <w:rPr>
          <w:rFonts w:ascii="Arial" w:hAnsi="Arial" w:cs="Arial"/>
          <w:sz w:val="20"/>
          <w:szCs w:val="20"/>
        </w:rPr>
        <w:t xml:space="preserve">PC = </w:t>
      </w:r>
      <w:r w:rsidRPr="00510412">
        <w:rPr>
          <w:rFonts w:ascii="Arial" w:hAnsi="Arial" w:cs="Arial"/>
          <w:sz w:val="20"/>
          <w:szCs w:val="20"/>
        </w:rPr>
        <w:t>Measured Production Capacity (lbs/hr)</w:t>
      </w:r>
    </w:p>
    <w:p w:rsidR="00357E02" w:rsidRPr="00510412" w:rsidRDefault="00357E02" w:rsidP="00357E02">
      <w:pPr>
        <w:rPr>
          <w:rFonts w:ascii="Arial" w:hAnsi="Arial" w:cs="Arial"/>
          <w:sz w:val="20"/>
          <w:szCs w:val="20"/>
        </w:rPr>
      </w:pPr>
      <w:r>
        <w:rPr>
          <w:rFonts w:ascii="Arial" w:hAnsi="Arial" w:cs="Arial"/>
          <w:sz w:val="20"/>
          <w:szCs w:val="20"/>
        </w:rPr>
        <w:t xml:space="preserve">TP = </w:t>
      </w:r>
      <w:r w:rsidRPr="00510412">
        <w:rPr>
          <w:rFonts w:ascii="Arial" w:hAnsi="Arial" w:cs="Arial"/>
          <w:sz w:val="20"/>
          <w:szCs w:val="20"/>
        </w:rPr>
        <w:t>Estimated Preheat Time (min)</w:t>
      </w:r>
    </w:p>
    <w:p w:rsidR="00357E02" w:rsidRPr="00510412" w:rsidRDefault="00357E02" w:rsidP="00357E02">
      <w:pPr>
        <w:rPr>
          <w:rFonts w:ascii="Arial" w:hAnsi="Arial" w:cs="Arial"/>
          <w:sz w:val="20"/>
          <w:szCs w:val="20"/>
        </w:rPr>
      </w:pPr>
      <w:r>
        <w:rPr>
          <w:rFonts w:ascii="Arial" w:hAnsi="Arial" w:cs="Arial"/>
          <w:sz w:val="20"/>
          <w:szCs w:val="20"/>
        </w:rPr>
        <w:t xml:space="preserve">nP = </w:t>
      </w:r>
      <w:r w:rsidRPr="00510412">
        <w:rPr>
          <w:rFonts w:ascii="Arial" w:hAnsi="Arial" w:cs="Arial"/>
          <w:sz w:val="20"/>
          <w:szCs w:val="20"/>
        </w:rPr>
        <w:t>Estimated Number of preheats/Day</w:t>
      </w:r>
    </w:p>
    <w:p w:rsidR="00357E02" w:rsidRPr="00510412" w:rsidRDefault="00357E02" w:rsidP="00357E02">
      <w:pPr>
        <w:rPr>
          <w:rFonts w:ascii="Arial" w:hAnsi="Arial" w:cs="Arial"/>
          <w:sz w:val="20"/>
          <w:szCs w:val="20"/>
        </w:rPr>
      </w:pPr>
      <w:r w:rsidRPr="00510412">
        <w:rPr>
          <w:rFonts w:ascii="Arial" w:hAnsi="Arial" w:cs="Arial"/>
          <w:sz w:val="20"/>
          <w:szCs w:val="20"/>
        </w:rPr>
        <w:t>EP =</w:t>
      </w:r>
      <w:r w:rsidRPr="00130D44">
        <w:rPr>
          <w:rFonts w:ascii="Arial" w:hAnsi="Arial" w:cs="Arial"/>
          <w:sz w:val="20"/>
          <w:szCs w:val="20"/>
        </w:rPr>
        <w:t xml:space="preserve"> </w:t>
      </w:r>
      <w:r w:rsidRPr="00510412">
        <w:rPr>
          <w:rFonts w:ascii="Arial" w:hAnsi="Arial" w:cs="Arial"/>
          <w:sz w:val="20"/>
          <w:szCs w:val="20"/>
        </w:rPr>
        <w:t>Measured Preheat Energy (Btu</w:t>
      </w:r>
      <w:r>
        <w:rPr>
          <w:rFonts w:ascii="Arial" w:hAnsi="Arial" w:cs="Arial"/>
          <w:sz w:val="20"/>
          <w:szCs w:val="20"/>
        </w:rPr>
        <w:t>)</w:t>
      </w:r>
    </w:p>
    <w:p w:rsidR="00977347" w:rsidRPr="009621D1" w:rsidRDefault="00977347" w:rsidP="00977347">
      <w:pPr>
        <w:spacing w:before="120" w:after="120"/>
        <w:rPr>
          <w:b/>
          <w:sz w:val="20"/>
          <w:szCs w:val="20"/>
          <w:lang w:eastAsia="x-none"/>
        </w:rPr>
      </w:pPr>
      <w:r w:rsidRPr="009621D1">
        <w:rPr>
          <w:b/>
          <w:sz w:val="20"/>
          <w:szCs w:val="20"/>
          <w:lang w:val="x-none" w:eastAsia="x-none"/>
        </w:rPr>
        <w:lastRenderedPageBreak/>
        <w:t xml:space="preserve">Daily Energy Consumption </w:t>
      </w:r>
      <w:r w:rsidRPr="009621D1">
        <w:rPr>
          <w:b/>
          <w:sz w:val="20"/>
          <w:szCs w:val="20"/>
          <w:lang w:eastAsia="x-none"/>
        </w:rPr>
        <w:t>Example:</w:t>
      </w:r>
    </w:p>
    <w:p w:rsidR="00187CC3" w:rsidRDefault="00187CC3" w:rsidP="00187CC3">
      <w:r w:rsidRPr="00187CC3">
        <w:t>Hand calculation may generate slightly different number due to rounding to significant digits.</w:t>
      </w:r>
      <w:r>
        <w:t xml:space="preserve"> </w:t>
      </w:r>
    </w:p>
    <w:p w:rsidR="00977347" w:rsidRDefault="00977347" w:rsidP="00977347"/>
    <w:p w:rsidR="00977347" w:rsidRPr="00990134" w:rsidRDefault="00990134" w:rsidP="00977347">
      <w:pPr>
        <w:spacing w:before="120" w:after="120"/>
        <w:rPr>
          <w:rFonts w:ascii="Arial" w:hAnsi="Arial" w:cs="Arial"/>
          <w:b/>
          <w:i/>
          <w:sz w:val="18"/>
          <w:szCs w:val="18"/>
        </w:rPr>
      </w:pPr>
      <m:oMathPara>
        <m:oMathParaPr>
          <m:jc m:val="left"/>
        </m:oMathParaPr>
        <m:oMath>
          <m:r>
            <m:rPr>
              <m:sty m:val="b"/>
            </m:rPr>
            <w:rPr>
              <w:rFonts w:ascii="Cambria Math" w:hAnsi="Cambria Math"/>
              <w:sz w:val="18"/>
              <w:szCs w:val="18"/>
              <w:lang w:val="x-none" w:eastAsia="x-none"/>
            </w:rPr>
            <m:t xml:space="preserve">EDAY= 83,333+ 225750 +21000= 330,083  </m:t>
          </m:r>
        </m:oMath>
      </m:oMathPara>
    </w:p>
    <w:p w:rsidR="00977347" w:rsidRDefault="00977347" w:rsidP="00977347">
      <w:pPr>
        <w:spacing w:before="120" w:after="120"/>
        <w:rPr>
          <w:rFonts w:ascii="Arial" w:hAnsi="Arial" w:cs="Arial"/>
          <w:b/>
          <w:i/>
          <w:sz w:val="20"/>
          <w:szCs w:val="20"/>
        </w:rPr>
      </w:pPr>
    </w:p>
    <w:p w:rsidR="00977347" w:rsidRPr="001D77D9" w:rsidRDefault="00977347" w:rsidP="00977347">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convection 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100 ×250</m:t>
                  </m:r>
                </m:num>
                <m:den>
                  <m:f>
                    <m:fPr>
                      <m:ctrlPr>
                        <w:rPr>
                          <w:rFonts w:ascii="Cambria Math" w:hAnsi="Cambria Math" w:cs="Arial"/>
                          <w:b/>
                          <w:i/>
                          <w:sz w:val="18"/>
                          <w:szCs w:val="18"/>
                        </w:rPr>
                      </m:ctrlPr>
                    </m:fPr>
                    <m:num>
                      <m:r>
                        <m:rPr>
                          <m:sty m:val="bi"/>
                        </m:rPr>
                        <w:rPr>
                          <w:rFonts w:ascii="Cambria Math" w:hAnsi="Cambria Math" w:cs="Arial"/>
                          <w:sz w:val="18"/>
                          <w:szCs w:val="18"/>
                        </w:rPr>
                        <m:t>30</m:t>
                      </m:r>
                    </m:num>
                    <m:den>
                      <m:r>
                        <m:rPr>
                          <m:sty m:val="bi"/>
                        </m:rPr>
                        <w:rPr>
                          <w:rFonts w:ascii="Cambria Math" w:hAnsi="Cambria Math" w:cs="Arial"/>
                          <w:sz w:val="18"/>
                          <w:szCs w:val="18"/>
                        </w:rPr>
                        <m:t>100</m:t>
                      </m:r>
                    </m:den>
                  </m:f>
                </m:den>
              </m:f>
            </m:e>
          </m:d>
          <m:r>
            <m:rPr>
              <m:sty m:val="bi"/>
            </m:rPr>
            <w:rPr>
              <w:rFonts w:ascii="Cambria Math" w:hAnsi="Cambria Math" w:cs="Arial"/>
              <w:sz w:val="18"/>
              <w:szCs w:val="18"/>
            </w:rPr>
            <m:t>=83,333</m:t>
          </m:r>
        </m:oMath>
      </m:oMathPara>
    </w:p>
    <w:p w:rsidR="00977347" w:rsidRPr="001003C2" w:rsidRDefault="00977347" w:rsidP="00977347">
      <w:pPr>
        <w:spacing w:before="120" w:after="120"/>
        <w:rPr>
          <w:rFonts w:ascii="Arial" w:hAnsi="Arial" w:cs="Arial"/>
          <w:b/>
          <w:i/>
          <w:sz w:val="20"/>
          <w:szCs w:val="20"/>
        </w:rPr>
      </w:pPr>
    </w:p>
    <w:p w:rsidR="00977347" w:rsidRPr="00B116DB" w:rsidRDefault="00977347" w:rsidP="00977347">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convection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21,000×</m:t>
              </m:r>
              <m:d>
                <m:dPr>
                  <m:ctrlPr>
                    <w:rPr>
                      <w:rFonts w:ascii="Cambria Math" w:hAnsi="Cambria Math" w:cs="Arial"/>
                      <w:b/>
                      <w:i/>
                      <w:sz w:val="18"/>
                      <w:szCs w:val="18"/>
                    </w:rPr>
                  </m:ctrlPr>
                </m:dPr>
                <m:e>
                  <m:r>
                    <m:rPr>
                      <m:sty m:val="bi"/>
                    </m:rPr>
                    <w:rPr>
                      <w:rFonts w:ascii="Cambria Math" w:hAnsi="Cambria Math" w:cs="Arial"/>
                      <w:sz w:val="18"/>
                      <w:szCs w:val="18"/>
                    </w:rPr>
                    <m:t>12-</m:t>
                  </m:r>
                  <m:f>
                    <m:fPr>
                      <m:ctrlPr>
                        <w:rPr>
                          <w:rFonts w:ascii="Cambria Math" w:hAnsi="Cambria Math" w:cs="Arial"/>
                          <w:b/>
                          <w:i/>
                          <w:sz w:val="18"/>
                          <w:szCs w:val="18"/>
                        </w:rPr>
                      </m:ctrlPr>
                    </m:fPr>
                    <m:num>
                      <m:r>
                        <m:rPr>
                          <m:sty m:val="bi"/>
                        </m:rPr>
                        <w:rPr>
                          <w:rFonts w:ascii="Cambria Math" w:hAnsi="Cambria Math" w:cs="Arial"/>
                          <w:sz w:val="18"/>
                          <w:szCs w:val="18"/>
                        </w:rPr>
                        <m:t>100</m:t>
                      </m:r>
                    </m:num>
                    <m:den>
                      <m:r>
                        <m:rPr>
                          <m:sty m:val="bi"/>
                        </m:rPr>
                        <w:rPr>
                          <w:rFonts w:ascii="Cambria Math" w:hAnsi="Cambria Math" w:cs="Arial"/>
                          <w:sz w:val="18"/>
                          <w:szCs w:val="18"/>
                        </w:rPr>
                        <m:t>100</m:t>
                      </m:r>
                    </m:den>
                  </m:f>
                  <m:r>
                    <m:rPr>
                      <m:sty m:val="bi"/>
                    </m:rPr>
                    <w:rPr>
                      <w:rFonts w:ascii="Cambria Math" w:hAnsi="Cambria Math" w:cs="Arial"/>
                      <w:sz w:val="18"/>
                      <w:szCs w:val="18"/>
                    </w:rPr>
                    <m:t>-(1 × 15/60)</m:t>
                  </m:r>
                </m:e>
              </m:d>
            </m:e>
          </m:d>
          <m:r>
            <m:rPr>
              <m:sty m:val="bi"/>
            </m:rPr>
            <w:rPr>
              <w:rFonts w:ascii="Cambria Math" w:hAnsi="Cambria Math" w:cs="Arial"/>
              <w:sz w:val="18"/>
              <w:szCs w:val="18"/>
            </w:rPr>
            <m:t>=225,750</m:t>
          </m:r>
        </m:oMath>
      </m:oMathPara>
    </w:p>
    <w:p w:rsidR="00977347" w:rsidRPr="001003C2" w:rsidRDefault="00977347" w:rsidP="00977347">
      <w:pPr>
        <w:spacing w:before="120" w:after="120"/>
        <w:rPr>
          <w:rFonts w:ascii="Arial" w:hAnsi="Arial" w:cs="Arial"/>
          <w:b/>
          <w:i/>
          <w:sz w:val="20"/>
          <w:szCs w:val="20"/>
        </w:rPr>
      </w:pPr>
    </w:p>
    <w:p w:rsidR="00977347" w:rsidRPr="00B116DB" w:rsidRDefault="00977347" w:rsidP="00977347">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1 ×21,000</m:t>
              </m:r>
            </m:e>
          </m:d>
          <m:r>
            <m:rPr>
              <m:sty m:val="bi"/>
            </m:rPr>
            <w:rPr>
              <w:rFonts w:ascii="Cambria Math" w:hAnsi="Cambria Math" w:cs="Arial"/>
              <w:sz w:val="18"/>
              <w:szCs w:val="18"/>
            </w:rPr>
            <m:t>=21,000</m:t>
          </m:r>
        </m:oMath>
      </m:oMathPara>
    </w:p>
    <w:p w:rsidR="00977347" w:rsidRPr="00172C1F" w:rsidRDefault="003B67F8" w:rsidP="003B67F8">
      <w:pPr>
        <w:pStyle w:val="Heading1"/>
        <w:keepLines/>
        <w:rPr>
          <w:lang w:val="en-US"/>
        </w:rPr>
      </w:pPr>
      <w:r>
        <w:br w:type="page"/>
      </w:r>
    </w:p>
    <w:p w:rsidR="00F578B9" w:rsidRDefault="00F578B9" w:rsidP="003B67F8">
      <w:pPr>
        <w:pStyle w:val="Heading1"/>
        <w:keepLines/>
      </w:pPr>
      <w:bookmarkStart w:id="71" w:name="_Toc458439248"/>
      <w:r>
        <w:lastRenderedPageBreak/>
        <w:t>Section 3. Load Shapes</w:t>
      </w:r>
      <w:bookmarkEnd w:id="71"/>
    </w:p>
    <w:p w:rsidR="00F578B9" w:rsidRDefault="00F578B9" w:rsidP="00F578B9">
      <w:pPr>
        <w:keepNext/>
        <w:keepLines/>
        <w:autoSpaceDE w:val="0"/>
        <w:autoSpaceDN w:val="0"/>
        <w:adjustRightInd w:val="0"/>
      </w:pPr>
      <w:r w:rsidRPr="001B2D74">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w:t>
      </w:r>
      <w:r>
        <w:t xml:space="preserve">a </w:t>
      </w:r>
      <w:r w:rsidRPr="001B2D74">
        <w:t>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4D066A" w:rsidRPr="00A84A88" w:rsidRDefault="004D066A" w:rsidP="00F578B9">
      <w:pPr>
        <w:keepNext/>
        <w:keepLines/>
        <w:autoSpaceDE w:val="0"/>
        <w:autoSpaceDN w:val="0"/>
        <w:adjustRightInd w:val="0"/>
      </w:pPr>
    </w:p>
    <w:p w:rsidR="00F578B9" w:rsidRPr="00AF51F0" w:rsidRDefault="00F578B9" w:rsidP="001B0B0D">
      <w:pPr>
        <w:pStyle w:val="Heading2"/>
        <w:spacing w:before="120"/>
        <w:rPr>
          <w:i w:val="0"/>
          <w:sz w:val="24"/>
          <w:szCs w:val="24"/>
        </w:rPr>
      </w:pPr>
      <w:bookmarkStart w:id="72" w:name="_Toc174355010"/>
      <w:bookmarkStart w:id="73" w:name="_Toc458439249"/>
      <w:r w:rsidRPr="00AF51F0">
        <w:rPr>
          <w:i w:val="0"/>
          <w:sz w:val="24"/>
          <w:szCs w:val="24"/>
        </w:rPr>
        <w:t>3.1 Base Case Load Shapes</w:t>
      </w:r>
      <w:bookmarkEnd w:id="72"/>
      <w:bookmarkEnd w:id="73"/>
    </w:p>
    <w:p w:rsidR="00F578B9" w:rsidRDefault="00F578B9" w:rsidP="00F578B9">
      <w:pPr>
        <w:spacing w:before="120"/>
      </w:pPr>
      <w:r>
        <w:t xml:space="preserve">The base case load shape would be expected to follow a </w:t>
      </w:r>
      <w:r w:rsidRPr="00A84A88">
        <w:t>typical non-residential foodservice</w:t>
      </w:r>
      <w:r>
        <w:t xml:space="preserve"> end use load shape.</w:t>
      </w:r>
    </w:p>
    <w:p w:rsidR="00F578B9" w:rsidRPr="00761A39" w:rsidRDefault="00F578B9" w:rsidP="00F578B9">
      <w:pPr>
        <w:spacing w:before="120"/>
      </w:pPr>
      <w:r>
        <w:t>Commercial</w:t>
      </w:r>
      <w:r w:rsidR="00FB2403">
        <w:t xml:space="preserve"> </w:t>
      </w:r>
      <w:r w:rsidR="00831FA2">
        <w:t>convection oven</w:t>
      </w:r>
      <w:r w:rsidR="00FB2403" w:rsidRPr="006868BF">
        <w:t xml:space="preserve"> </w:t>
      </w:r>
      <w:r>
        <w:t xml:space="preserve">load shapes </w:t>
      </w:r>
      <w:r>
        <w:rPr>
          <w:i/>
        </w:rPr>
        <w:t xml:space="preserve"> </w:t>
      </w:r>
      <w:r>
        <w:t>differ among food service facilities (quick service, casual dining, hotels, college, schools, hospitals</w:t>
      </w:r>
      <w:r w:rsidR="005E52E8">
        <w:t>,</w:t>
      </w:r>
      <w:r>
        <w:t xml:space="preserve"> etc</w:t>
      </w:r>
      <w:r w:rsidR="005E52E8">
        <w:t>.</w:t>
      </w:r>
      <w:r>
        <w:t xml:space="preserve">) depending on daily menu variations, hours of operation, serving periods, day-of-week, and facility location (city downtown, suburban mall, access to interstate highways, etc.). Consequently, applicable average TOU and hourly load shapes for </w:t>
      </w:r>
      <w:r w:rsidR="00FB2403">
        <w:t xml:space="preserve">commercial </w:t>
      </w:r>
      <w:r w:rsidR="00831FA2">
        <w:t>convection ovens</w:t>
      </w:r>
      <w:r w:rsidR="00FB2403" w:rsidRPr="006868BF">
        <w:t xml:space="preserve"> </w:t>
      </w:r>
      <w:r>
        <w:t xml:space="preserve">are unavailable. The ASTM Standard Test Method used to generate energy use data is based on hours of use and operating state (preheat, idle, and heavy-load cooking). Generally, </w:t>
      </w:r>
      <w:r w:rsidR="00FB2403">
        <w:t xml:space="preserve">commercial </w:t>
      </w:r>
      <w:r w:rsidR="00831FA2">
        <w:t>convection oven</w:t>
      </w:r>
      <w:r w:rsidR="007E072C">
        <w:t>s</w:t>
      </w:r>
      <w:r w:rsidR="00FB2403" w:rsidRPr="006868BF">
        <w:t xml:space="preserve"> </w:t>
      </w:r>
      <w:r>
        <w:t xml:space="preserve">are used to prepare food within a few days to a few hours before it is served, so loads tend to not necessarily be coincident with regular meal periods (breakfast, lunch, and dinner). Between meal periods </w:t>
      </w:r>
      <w:r w:rsidR="00FB2403">
        <w:t xml:space="preserve">commercial </w:t>
      </w:r>
      <w:r w:rsidR="00831FA2">
        <w:t>convection oven</w:t>
      </w:r>
      <w:r w:rsidR="007E072C">
        <w:t>s</w:t>
      </w:r>
      <w:r w:rsidR="00FB2403" w:rsidRPr="006868BF">
        <w:t xml:space="preserve"> </w:t>
      </w:r>
      <w:r>
        <w:t>may be used to prepare ingredients for either the next meal period or for menu items to be served the next several days (in which case the ingredients are refrigerated immediately after cooking).</w:t>
      </w:r>
    </w:p>
    <w:p w:rsidR="004D066A" w:rsidRDefault="004D066A" w:rsidP="001B0B0D">
      <w:pPr>
        <w:pStyle w:val="Heading2"/>
        <w:keepNext w:val="0"/>
        <w:spacing w:before="120"/>
        <w:rPr>
          <w:i w:val="0"/>
          <w:sz w:val="24"/>
          <w:szCs w:val="24"/>
          <w:lang w:val="en-US"/>
        </w:rPr>
      </w:pPr>
      <w:bookmarkStart w:id="74" w:name="_Toc174355011"/>
    </w:p>
    <w:p w:rsidR="00F578B9" w:rsidRPr="00AF51F0" w:rsidRDefault="00F578B9" w:rsidP="001B0B0D">
      <w:pPr>
        <w:pStyle w:val="Heading2"/>
        <w:keepNext w:val="0"/>
        <w:spacing w:before="120"/>
        <w:rPr>
          <w:i w:val="0"/>
          <w:sz w:val="24"/>
          <w:szCs w:val="24"/>
        </w:rPr>
      </w:pPr>
      <w:bookmarkStart w:id="75" w:name="_Toc458439250"/>
      <w:r w:rsidRPr="00AF51F0">
        <w:rPr>
          <w:i w:val="0"/>
          <w:sz w:val="24"/>
          <w:szCs w:val="24"/>
        </w:rPr>
        <w:t>3.2 Measure Load Shapes</w:t>
      </w:r>
      <w:bookmarkEnd w:id="74"/>
      <w:bookmarkEnd w:id="75"/>
    </w:p>
    <w:p w:rsidR="00F578B9" w:rsidRDefault="00F578B9" w:rsidP="00F578B9">
      <w:pPr>
        <w:spacing w:before="120"/>
      </w:pPr>
      <w:r>
        <w:t xml:space="preserve">For purposes of the net benefits estimates in the E3 calculator, what is required is the load shape that ideally represents the </w:t>
      </w:r>
      <w:r w:rsidRPr="00061ED2">
        <w:rPr>
          <w:i/>
        </w:rPr>
        <w:t>difference</w:t>
      </w:r>
      <w:r>
        <w:t xml:space="preserve"> between the base equipment and the installed energy efficiency measure.  This </w:t>
      </w:r>
      <w:r>
        <w:rPr>
          <w:i/>
        </w:rPr>
        <w:t>difference</w:t>
      </w:r>
      <w:r>
        <w:t xml:space="preserve"> load profile is what is called the Measure Load Shape and would be the preferred load shape for use in the net benefits calculations.  </w:t>
      </w:r>
    </w:p>
    <w:p w:rsidR="00F578B9" w:rsidRPr="005D6C0F" w:rsidRDefault="00F578B9" w:rsidP="00F578B9">
      <w:pPr>
        <w:spacing w:before="120"/>
      </w:pPr>
      <w:r>
        <w:t xml:space="preserve">The measure load shape for this measure is determined by the E3 calculator based on the applicable </w:t>
      </w:r>
      <w:r w:rsidRPr="00A84A88">
        <w:t xml:space="preserve">non-residential </w:t>
      </w:r>
      <w:r>
        <w:t xml:space="preserve">market sector and </w:t>
      </w:r>
      <w:r w:rsidRPr="005D6C0F">
        <w:t xml:space="preserve">the foodservice end-use. </w:t>
      </w:r>
    </w:p>
    <w:p w:rsidR="00D8616D" w:rsidRPr="00A50C57" w:rsidRDefault="00F578B9" w:rsidP="00A50C57">
      <w:pPr>
        <w:spacing w:before="120"/>
      </w:pPr>
      <w:r>
        <w:t xml:space="preserve">The electric demand profile for the high-efficiency electric </w:t>
      </w:r>
      <w:r w:rsidR="00FB2403">
        <w:t xml:space="preserve">commercial </w:t>
      </w:r>
      <w:r w:rsidR="00831FA2">
        <w:t>convection oven</w:t>
      </w:r>
      <w:r w:rsidR="00FB2403" w:rsidRPr="006868BF">
        <w:t xml:space="preserve"> </w:t>
      </w:r>
      <w:r>
        <w:t xml:space="preserve">is expected to be the same as the Base Case. The profile will vary as explained in Section 3.1. The Measure Load Shape for the high-efficiency </w:t>
      </w:r>
      <w:r w:rsidR="00FB2403">
        <w:t xml:space="preserve">commercial </w:t>
      </w:r>
      <w:r w:rsidR="00831FA2">
        <w:t>convection oven</w:t>
      </w:r>
      <w:r w:rsidR="007E072C">
        <w:t>s</w:t>
      </w:r>
      <w:r w:rsidR="00FB2403" w:rsidRPr="006868BF">
        <w:t xml:space="preserve"> </w:t>
      </w:r>
      <w:r>
        <w:t>will use less energy a</w:t>
      </w:r>
      <w:r w:rsidR="00A50C57">
        <w:t>nd have a lower demand profile.</w:t>
      </w:r>
    </w:p>
    <w:p w:rsidR="00F578B9" w:rsidRDefault="00F578B9" w:rsidP="00F578B9">
      <w:r>
        <w:lastRenderedPageBreak/>
        <w:t xml:space="preserve">The gas load profile for the high efficiency gas </w:t>
      </w:r>
      <w:r w:rsidR="00FB2403">
        <w:t xml:space="preserve">commercial </w:t>
      </w:r>
      <w:r w:rsidR="00831FA2">
        <w:t>convection oven</w:t>
      </w:r>
      <w:r w:rsidR="007E072C">
        <w:t>s</w:t>
      </w:r>
      <w:r w:rsidR="00FB2403" w:rsidRPr="006868BF">
        <w:t xml:space="preserve"> </w:t>
      </w:r>
      <w:r>
        <w:t xml:space="preserve">is expected to be the same as the Base Case. The profile will vary as explained in Section 3.1. The Measure Load Shape for the high efficiency </w:t>
      </w:r>
      <w:r w:rsidR="00FB2403">
        <w:t xml:space="preserve">commercial </w:t>
      </w:r>
      <w:r w:rsidR="00831FA2">
        <w:t>convection oven</w:t>
      </w:r>
      <w:r w:rsidR="007E072C">
        <w:t>s</w:t>
      </w:r>
      <w:r w:rsidR="00FB2403" w:rsidRPr="006868BF">
        <w:t xml:space="preserve"> </w:t>
      </w:r>
      <w:r>
        <w:t>will use less energy.</w:t>
      </w:r>
    </w:p>
    <w:p w:rsidR="00FB2403" w:rsidRDefault="00FB2403" w:rsidP="00F578B9"/>
    <w:p w:rsidR="00F578B9" w:rsidRPr="00C10CFE" w:rsidRDefault="00F578B9" w:rsidP="00936EAE">
      <w:pPr>
        <w:pStyle w:val="Heading1"/>
        <w:keepLines/>
        <w:rPr>
          <w:rFonts w:cs="Arial"/>
          <w:b w:val="0"/>
        </w:rPr>
      </w:pPr>
      <w:bookmarkStart w:id="76" w:name="_Toc458439251"/>
      <w:r w:rsidRPr="00936EAE">
        <w:t>Section 4. Base Case &amp; Measure Costs</w:t>
      </w:r>
      <w:bookmarkEnd w:id="76"/>
    </w:p>
    <w:p w:rsidR="00ED30D3" w:rsidRDefault="00ED30D3" w:rsidP="00AC3C6E">
      <w:pPr>
        <w:autoSpaceDE w:val="0"/>
        <w:autoSpaceDN w:val="0"/>
        <w:adjustRightInd w:val="0"/>
      </w:pPr>
      <w:r>
        <w:t xml:space="preserve">High efficiency </w:t>
      </w:r>
      <w:r w:rsidR="00831FA2">
        <w:t>convection oven</w:t>
      </w:r>
      <w:r>
        <w:t xml:space="preserve">s typically list for more than standard efficiency </w:t>
      </w:r>
      <w:r w:rsidR="00831FA2">
        <w:t>convection oven</w:t>
      </w:r>
      <w:r>
        <w:t xml:space="preserve">s. However, high efficiency designs are often bundled with other features such as all stainless steel construction and high quality components and controls. In addition to lower operating costs, high efficiency </w:t>
      </w:r>
      <w:r w:rsidR="00831FA2">
        <w:t>convection oven</w:t>
      </w:r>
      <w:r>
        <w:t xml:space="preserve">s exhibit higher production rates than Baseline model </w:t>
      </w:r>
      <w:r w:rsidR="00831FA2">
        <w:t>convection ovens.</w:t>
      </w:r>
    </w:p>
    <w:p w:rsidR="00ED30D3" w:rsidRPr="001E42AE" w:rsidRDefault="00ED30D3" w:rsidP="00ED30D3">
      <w:r w:rsidRPr="00976D97">
        <w:t>Equipment prices for these work papers were compiled from a number of sources including, Autoquotes, equipment sales reps and manufacturer sources</w:t>
      </w:r>
      <w:r>
        <w:rPr>
          <w:rStyle w:val="EndnoteReference"/>
        </w:rPr>
        <w:endnoteReference w:id="9"/>
      </w:r>
      <w:r w:rsidRPr="00976D97">
        <w:t>. Since equipment pricing in food service is closely held information and prices vary widely according to buying volume and other factors, we cannot list the sources for prices specifically.</w:t>
      </w:r>
    </w:p>
    <w:p w:rsidR="00F578B9" w:rsidRDefault="00F578B9" w:rsidP="00F578B9">
      <w:pPr>
        <w:pStyle w:val="Heading2"/>
        <w:keepNext w:val="0"/>
      </w:pPr>
      <w:bookmarkStart w:id="77" w:name="_Toc458439252"/>
      <w:r>
        <w:t>4.1 Base Cases Costs</w:t>
      </w:r>
      <w:bookmarkEnd w:id="77"/>
    </w:p>
    <w:p w:rsidR="00F578B9" w:rsidRDefault="00ED30D3" w:rsidP="00F578B9">
      <w:pPr>
        <w:rPr>
          <w:vertAlign w:val="superscript"/>
        </w:rPr>
      </w:pPr>
      <w:r>
        <w:t xml:space="preserve">The Base Case costs include only the equipment. High efficiency </w:t>
      </w:r>
      <w:r w:rsidR="00831FA2">
        <w:t>convection oven</w:t>
      </w:r>
      <w:r>
        <w:t xml:space="preserve">s require no additional labor or maintenance compared to base case </w:t>
      </w:r>
      <w:r w:rsidR="00831FA2">
        <w:t>convection oven</w:t>
      </w:r>
      <w:r>
        <w:t xml:space="preserve">s. Since this measure is applicable for ROB and NC installations, the installation and maintenance costs are expected to be the same for the customer. The estimated equipment cost is based on recent list cost data for electric and gas </w:t>
      </w:r>
      <w:r w:rsidR="00831FA2">
        <w:t>convection oven</w:t>
      </w:r>
      <w:r>
        <w:t>s</w:t>
      </w:r>
      <w:r w:rsidRPr="00333ACE">
        <w:t xml:space="preserve"> </w:t>
      </w:r>
      <w:r>
        <w:t>and applying an industry-standard 50% discount to the manufacturer published list prices.</w:t>
      </w:r>
    </w:p>
    <w:p w:rsidR="00F578B9" w:rsidRDefault="00F578B9" w:rsidP="00F578B9">
      <w:pPr>
        <w:pStyle w:val="Heading2"/>
        <w:keepNext w:val="0"/>
      </w:pPr>
      <w:bookmarkStart w:id="78" w:name="_Toc458439253"/>
      <w:r>
        <w:t>4.2 Measure Costs</w:t>
      </w:r>
      <w:bookmarkEnd w:id="78"/>
    </w:p>
    <w:p w:rsidR="00F578B9" w:rsidRPr="00761A39" w:rsidRDefault="00F578B9" w:rsidP="00F578B9">
      <w:r>
        <w:t>The Measure costs include only the equipment, as explained in Section 4.1. The estimated equipment cost is based on recent list cost data (see Appendix A).</w:t>
      </w:r>
      <w:r>
        <w:rPr>
          <w:vertAlign w:val="superscript"/>
        </w:rPr>
        <w:t xml:space="preserve"> </w:t>
      </w:r>
    </w:p>
    <w:p w:rsidR="00F578B9" w:rsidRDefault="00F578B9" w:rsidP="00F578B9">
      <w:pPr>
        <w:pStyle w:val="Heading2"/>
      </w:pPr>
      <w:bookmarkStart w:id="79" w:name="_Toc458439254"/>
      <w:r>
        <w:t>4.3 Incremental &amp; Full Measure Costs</w:t>
      </w:r>
      <w:bookmarkEnd w:id="79"/>
    </w:p>
    <w:p w:rsidR="00AC3C6E" w:rsidRDefault="00F578B9" w:rsidP="00AC3C6E">
      <w:r w:rsidRPr="00CC7001">
        <w:t>Incremental meas</w:t>
      </w:r>
      <w:r>
        <w:t>ure cost</w:t>
      </w:r>
      <w:r w:rsidR="000C1136">
        <w:t>s are used in the analysis.</w:t>
      </w:r>
    </w:p>
    <w:p w:rsidR="000C1136" w:rsidRPr="00F01E2B" w:rsidRDefault="00F01E2B" w:rsidP="00F01E2B">
      <w:pPr>
        <w:pStyle w:val="Caption"/>
        <w:keepNext/>
        <w:jc w:val="center"/>
        <w:rPr>
          <w:sz w:val="24"/>
          <w:szCs w:val="24"/>
          <w:lang w:val="en-US"/>
        </w:rPr>
      </w:pPr>
      <w:bookmarkStart w:id="80" w:name="_Toc458439269"/>
      <w:r w:rsidRPr="00F01E2B">
        <w:rPr>
          <w:sz w:val="24"/>
          <w:szCs w:val="24"/>
        </w:rPr>
        <w:t>Table</w:t>
      </w:r>
      <w:r w:rsidRPr="00F01E2B">
        <w:rPr>
          <w:sz w:val="24"/>
          <w:szCs w:val="24"/>
          <w:lang w:val="en-US"/>
        </w:rPr>
        <w:t>-</w:t>
      </w:r>
      <w:r w:rsidR="000C1136" w:rsidRPr="00F01E2B">
        <w:rPr>
          <w:sz w:val="24"/>
          <w:szCs w:val="24"/>
        </w:rPr>
        <w:fldChar w:fldCharType="begin"/>
      </w:r>
      <w:r w:rsidR="000C1136" w:rsidRPr="00F01E2B">
        <w:rPr>
          <w:sz w:val="24"/>
          <w:szCs w:val="24"/>
        </w:rPr>
        <w:instrText xml:space="preserve"> SEQ Table \* ARABIC </w:instrText>
      </w:r>
      <w:r w:rsidR="000C1136" w:rsidRPr="00F01E2B">
        <w:rPr>
          <w:sz w:val="24"/>
          <w:szCs w:val="24"/>
        </w:rPr>
        <w:fldChar w:fldCharType="separate"/>
      </w:r>
      <w:r w:rsidR="00733FAC">
        <w:rPr>
          <w:noProof/>
          <w:sz w:val="24"/>
          <w:szCs w:val="24"/>
        </w:rPr>
        <w:t>15</w:t>
      </w:r>
      <w:r w:rsidR="000C1136" w:rsidRPr="00F01E2B">
        <w:rPr>
          <w:sz w:val="24"/>
          <w:szCs w:val="24"/>
        </w:rPr>
        <w:fldChar w:fldCharType="end"/>
      </w:r>
      <w:r w:rsidRPr="00F01E2B">
        <w:rPr>
          <w:sz w:val="24"/>
          <w:szCs w:val="24"/>
          <w:lang w:val="en-US"/>
        </w:rPr>
        <w:t xml:space="preserve">: </w:t>
      </w:r>
      <w:r w:rsidR="000C1136" w:rsidRPr="00F01E2B">
        <w:rPr>
          <w:sz w:val="24"/>
          <w:szCs w:val="24"/>
        </w:rPr>
        <w:t>Equipment Incremental Cost Data for Energy Efficient Commercial Convection Ovens</w:t>
      </w:r>
      <w:bookmarkEnd w:id="80"/>
    </w:p>
    <w:tbl>
      <w:tblPr>
        <w:tblW w:w="52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089"/>
        <w:gridCol w:w="1087"/>
        <w:gridCol w:w="1307"/>
        <w:gridCol w:w="1227"/>
        <w:gridCol w:w="1077"/>
        <w:gridCol w:w="1171"/>
        <w:gridCol w:w="1349"/>
      </w:tblGrid>
      <w:tr w:rsidR="00AC3C6E" w:rsidRPr="00D57304" w:rsidTr="002C0558">
        <w:trPr>
          <w:trHeight w:val="780"/>
        </w:trPr>
        <w:tc>
          <w:tcPr>
            <w:tcW w:w="850" w:type="pct"/>
            <w:shd w:val="clear" w:color="000000" w:fill="C0C0C0"/>
            <w:vAlign w:val="bottom"/>
          </w:tcPr>
          <w:p w:rsidR="00AC3C6E" w:rsidRPr="00D57304" w:rsidRDefault="00AC3C6E" w:rsidP="00092CC1">
            <w:pPr>
              <w:jc w:val="center"/>
              <w:rPr>
                <w:rFonts w:ascii="Arial" w:hAnsi="Arial" w:cs="Arial"/>
                <w:b/>
                <w:bCs/>
                <w:color w:val="000000"/>
                <w:sz w:val="20"/>
                <w:szCs w:val="20"/>
              </w:rPr>
            </w:pPr>
            <w:r>
              <w:rPr>
                <w:rFonts w:ascii="Arial" w:hAnsi="Arial" w:cs="Arial"/>
                <w:b/>
                <w:bCs/>
                <w:color w:val="000000"/>
                <w:sz w:val="20"/>
                <w:szCs w:val="20"/>
              </w:rPr>
              <w:t>Convection Oven Type</w:t>
            </w:r>
          </w:p>
        </w:tc>
        <w:tc>
          <w:tcPr>
            <w:tcW w:w="544" w:type="pct"/>
            <w:shd w:val="clear" w:color="000000" w:fill="C0C0C0"/>
            <w:vAlign w:val="bottom"/>
          </w:tcPr>
          <w:p w:rsidR="00AC3C6E" w:rsidRPr="00D57304" w:rsidRDefault="00AC3C6E" w:rsidP="00092CC1">
            <w:pPr>
              <w:jc w:val="center"/>
              <w:rPr>
                <w:rFonts w:ascii="Arial" w:hAnsi="Arial" w:cs="Arial"/>
                <w:b/>
                <w:bCs/>
                <w:color w:val="000000"/>
                <w:sz w:val="20"/>
                <w:szCs w:val="20"/>
              </w:rPr>
            </w:pPr>
            <w:r>
              <w:rPr>
                <w:rFonts w:ascii="Arial" w:hAnsi="Arial" w:cs="Arial"/>
                <w:b/>
                <w:bCs/>
                <w:color w:val="000000"/>
                <w:sz w:val="20"/>
                <w:szCs w:val="20"/>
              </w:rPr>
              <w:t>PG&amp;E Measure Code</w:t>
            </w:r>
          </w:p>
        </w:tc>
        <w:tc>
          <w:tcPr>
            <w:tcW w:w="543" w:type="pct"/>
            <w:shd w:val="clear" w:color="000000" w:fill="C0C0C0"/>
            <w:vAlign w:val="bottom"/>
          </w:tcPr>
          <w:p w:rsidR="00AC3C6E" w:rsidRPr="00D57304" w:rsidRDefault="00AC3C6E" w:rsidP="00092CC1">
            <w:pPr>
              <w:jc w:val="center"/>
              <w:rPr>
                <w:rFonts w:ascii="Arial" w:hAnsi="Arial" w:cs="Arial"/>
                <w:b/>
                <w:bCs/>
                <w:color w:val="000000"/>
                <w:sz w:val="20"/>
                <w:szCs w:val="20"/>
              </w:rPr>
            </w:pPr>
            <w:r w:rsidRPr="00D57304">
              <w:rPr>
                <w:rFonts w:ascii="Arial" w:hAnsi="Arial" w:cs="Arial"/>
                <w:b/>
                <w:bCs/>
                <w:color w:val="000000"/>
                <w:sz w:val="20"/>
                <w:szCs w:val="20"/>
              </w:rPr>
              <w:t>Baseline Unit Price</w:t>
            </w:r>
          </w:p>
        </w:tc>
        <w:tc>
          <w:tcPr>
            <w:tcW w:w="653" w:type="pct"/>
            <w:shd w:val="clear" w:color="000000" w:fill="C0C0C0"/>
            <w:vAlign w:val="bottom"/>
          </w:tcPr>
          <w:p w:rsidR="00AC3C6E" w:rsidRPr="00D57304" w:rsidRDefault="00AC3C6E" w:rsidP="00092CC1">
            <w:pPr>
              <w:jc w:val="center"/>
              <w:rPr>
                <w:rFonts w:ascii="Arial" w:hAnsi="Arial" w:cs="Arial"/>
                <w:b/>
                <w:bCs/>
                <w:color w:val="000000"/>
                <w:sz w:val="20"/>
                <w:szCs w:val="20"/>
              </w:rPr>
            </w:pPr>
            <w:r w:rsidRPr="00D57304">
              <w:rPr>
                <w:rFonts w:ascii="Arial" w:hAnsi="Arial" w:cs="Arial"/>
                <w:b/>
                <w:bCs/>
                <w:color w:val="000000"/>
                <w:sz w:val="20"/>
                <w:szCs w:val="20"/>
              </w:rPr>
              <w:t>Energy Efficient Unit Price</w:t>
            </w:r>
          </w:p>
        </w:tc>
        <w:tc>
          <w:tcPr>
            <w:tcW w:w="613" w:type="pct"/>
            <w:shd w:val="clear" w:color="000000" w:fill="C0C0C0"/>
            <w:vAlign w:val="bottom"/>
          </w:tcPr>
          <w:p w:rsidR="00AC3C6E" w:rsidRPr="00D57304" w:rsidRDefault="00AC3C6E" w:rsidP="00092CC1">
            <w:pPr>
              <w:jc w:val="center"/>
              <w:rPr>
                <w:rFonts w:ascii="Arial" w:hAnsi="Arial" w:cs="Arial"/>
                <w:b/>
                <w:bCs/>
                <w:color w:val="000000"/>
                <w:sz w:val="20"/>
                <w:szCs w:val="20"/>
              </w:rPr>
            </w:pPr>
            <w:r w:rsidRPr="00D57304">
              <w:rPr>
                <w:rFonts w:ascii="Arial" w:hAnsi="Arial" w:cs="Arial"/>
                <w:b/>
                <w:bCs/>
                <w:color w:val="000000"/>
                <w:sz w:val="20"/>
                <w:szCs w:val="20"/>
              </w:rPr>
              <w:t>Incremental Price Difference</w:t>
            </w:r>
          </w:p>
        </w:tc>
        <w:tc>
          <w:tcPr>
            <w:tcW w:w="538" w:type="pct"/>
            <w:shd w:val="clear" w:color="000000" w:fill="C0C0C0"/>
            <w:vAlign w:val="bottom"/>
          </w:tcPr>
          <w:p w:rsidR="00AC3C6E" w:rsidRPr="00D57304" w:rsidRDefault="00AC3C6E" w:rsidP="00092CC1">
            <w:pPr>
              <w:jc w:val="center"/>
              <w:rPr>
                <w:rFonts w:ascii="Arial" w:hAnsi="Arial" w:cs="Arial"/>
                <w:b/>
                <w:bCs/>
                <w:color w:val="000000"/>
                <w:sz w:val="20"/>
                <w:szCs w:val="20"/>
              </w:rPr>
            </w:pPr>
            <w:r w:rsidRPr="00D57304">
              <w:rPr>
                <w:rFonts w:ascii="Arial" w:hAnsi="Arial" w:cs="Arial"/>
                <w:b/>
                <w:bCs/>
                <w:color w:val="000000"/>
                <w:sz w:val="20"/>
                <w:szCs w:val="20"/>
              </w:rPr>
              <w:t>Baseline Unit Cost</w:t>
            </w:r>
          </w:p>
        </w:tc>
        <w:tc>
          <w:tcPr>
            <w:tcW w:w="585" w:type="pct"/>
            <w:shd w:val="clear" w:color="000000" w:fill="C0C0C0"/>
            <w:vAlign w:val="bottom"/>
          </w:tcPr>
          <w:p w:rsidR="00AC3C6E" w:rsidRPr="00D57304" w:rsidRDefault="00AC3C6E" w:rsidP="00092CC1">
            <w:pPr>
              <w:jc w:val="center"/>
              <w:rPr>
                <w:rFonts w:ascii="Arial" w:hAnsi="Arial" w:cs="Arial"/>
                <w:b/>
                <w:bCs/>
                <w:color w:val="000000"/>
                <w:sz w:val="20"/>
                <w:szCs w:val="20"/>
              </w:rPr>
            </w:pPr>
            <w:r w:rsidRPr="00D57304">
              <w:rPr>
                <w:rFonts w:ascii="Arial" w:hAnsi="Arial" w:cs="Arial"/>
                <w:b/>
                <w:bCs/>
                <w:color w:val="000000"/>
                <w:sz w:val="20"/>
                <w:szCs w:val="20"/>
              </w:rPr>
              <w:t>Energy Efficient Unit Cost</w:t>
            </w:r>
          </w:p>
        </w:tc>
        <w:tc>
          <w:tcPr>
            <w:tcW w:w="674" w:type="pct"/>
            <w:shd w:val="clear" w:color="000000" w:fill="C0C0C0"/>
            <w:vAlign w:val="bottom"/>
          </w:tcPr>
          <w:p w:rsidR="00AC3C6E" w:rsidRPr="00D57304" w:rsidRDefault="00AC3C6E" w:rsidP="00092CC1">
            <w:pPr>
              <w:jc w:val="center"/>
              <w:rPr>
                <w:rFonts w:ascii="Arial" w:hAnsi="Arial" w:cs="Arial"/>
                <w:b/>
                <w:bCs/>
                <w:color w:val="000000"/>
                <w:sz w:val="20"/>
                <w:szCs w:val="20"/>
              </w:rPr>
            </w:pPr>
            <w:r w:rsidRPr="00D57304">
              <w:rPr>
                <w:rFonts w:ascii="Arial" w:hAnsi="Arial" w:cs="Arial"/>
                <w:b/>
                <w:bCs/>
                <w:color w:val="000000"/>
                <w:sz w:val="20"/>
                <w:szCs w:val="20"/>
              </w:rPr>
              <w:t>Incremental Measure Cost (IMC)</w:t>
            </w:r>
          </w:p>
        </w:tc>
      </w:tr>
      <w:tr w:rsidR="00AC3C6E" w:rsidRPr="00D57304" w:rsidTr="002C0558">
        <w:trPr>
          <w:trHeight w:val="300"/>
        </w:trPr>
        <w:tc>
          <w:tcPr>
            <w:tcW w:w="850" w:type="pct"/>
            <w:vAlign w:val="center"/>
          </w:tcPr>
          <w:p w:rsidR="00AC3C6E" w:rsidRDefault="00AC3C6E" w:rsidP="00092CC1">
            <w:pPr>
              <w:rPr>
                <w:rFonts w:ascii="Calibri" w:hAnsi="Calibri"/>
                <w:color w:val="000000"/>
                <w:sz w:val="22"/>
                <w:szCs w:val="22"/>
              </w:rPr>
            </w:pPr>
            <w:r>
              <w:rPr>
                <w:rFonts w:ascii="Arial" w:hAnsi="Arial" w:cs="Arial"/>
                <w:color w:val="000000"/>
                <w:sz w:val="20"/>
                <w:szCs w:val="20"/>
              </w:rPr>
              <w:t>Electric Half-Size</w:t>
            </w:r>
          </w:p>
        </w:tc>
        <w:tc>
          <w:tcPr>
            <w:tcW w:w="544" w:type="pct"/>
          </w:tcPr>
          <w:p w:rsidR="00AC3C6E" w:rsidRDefault="00AC3C6E" w:rsidP="00092CC1">
            <w:pPr>
              <w:jc w:val="right"/>
              <w:rPr>
                <w:rFonts w:ascii="Calibri" w:hAnsi="Calibri" w:cs="Calibri"/>
                <w:color w:val="000000"/>
                <w:sz w:val="22"/>
                <w:szCs w:val="22"/>
              </w:rPr>
            </w:pPr>
          </w:p>
        </w:tc>
        <w:tc>
          <w:tcPr>
            <w:tcW w:w="54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$7,209</w:t>
            </w:r>
          </w:p>
        </w:tc>
        <w:tc>
          <w:tcPr>
            <w:tcW w:w="65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$8,795</w:t>
            </w:r>
          </w:p>
        </w:tc>
        <w:tc>
          <w:tcPr>
            <w:tcW w:w="61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$1,586</w:t>
            </w:r>
          </w:p>
        </w:tc>
        <w:tc>
          <w:tcPr>
            <w:tcW w:w="538"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$3,605</w:t>
            </w:r>
          </w:p>
        </w:tc>
        <w:tc>
          <w:tcPr>
            <w:tcW w:w="585"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$4,398</w:t>
            </w:r>
          </w:p>
        </w:tc>
        <w:tc>
          <w:tcPr>
            <w:tcW w:w="674"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$793</w:t>
            </w:r>
          </w:p>
        </w:tc>
      </w:tr>
      <w:tr w:rsidR="00AC3C6E" w:rsidRPr="00D57304" w:rsidTr="002C0558">
        <w:trPr>
          <w:trHeight w:val="300"/>
        </w:trPr>
        <w:tc>
          <w:tcPr>
            <w:tcW w:w="850" w:type="pct"/>
            <w:vAlign w:val="center"/>
          </w:tcPr>
          <w:p w:rsidR="00AC3C6E" w:rsidRPr="00D57304" w:rsidRDefault="00AC3C6E" w:rsidP="00092CC1">
            <w:pPr>
              <w:rPr>
                <w:rFonts w:ascii="Calibri" w:hAnsi="Calibri"/>
                <w:color w:val="000000"/>
                <w:sz w:val="22"/>
                <w:szCs w:val="22"/>
              </w:rPr>
            </w:pPr>
            <w:r>
              <w:rPr>
                <w:rFonts w:ascii="Arial" w:hAnsi="Arial" w:cs="Arial"/>
                <w:color w:val="000000"/>
                <w:sz w:val="20"/>
                <w:szCs w:val="20"/>
              </w:rPr>
              <w:t>Electric Full-Size</w:t>
            </w:r>
          </w:p>
        </w:tc>
        <w:tc>
          <w:tcPr>
            <w:tcW w:w="544" w:type="pct"/>
          </w:tcPr>
          <w:p w:rsidR="00AC3C6E" w:rsidRDefault="00AC3C6E" w:rsidP="00092CC1">
            <w:pPr>
              <w:jc w:val="right"/>
              <w:rPr>
                <w:rFonts w:ascii="Calibri" w:hAnsi="Calibri" w:cs="Calibri"/>
                <w:color w:val="000000"/>
                <w:sz w:val="22"/>
                <w:szCs w:val="22"/>
              </w:rPr>
            </w:pPr>
            <w:r>
              <w:rPr>
                <w:rFonts w:ascii="Calibri" w:hAnsi="Calibri" w:cs="Calibri"/>
                <w:color w:val="000000"/>
                <w:sz w:val="22"/>
                <w:szCs w:val="22"/>
              </w:rPr>
              <w:t>F187</w:t>
            </w:r>
          </w:p>
        </w:tc>
        <w:tc>
          <w:tcPr>
            <w:tcW w:w="54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$8,216</w:t>
            </w:r>
          </w:p>
        </w:tc>
        <w:tc>
          <w:tcPr>
            <w:tcW w:w="65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$10,229</w:t>
            </w:r>
          </w:p>
        </w:tc>
        <w:tc>
          <w:tcPr>
            <w:tcW w:w="61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$2,014</w:t>
            </w:r>
          </w:p>
        </w:tc>
        <w:tc>
          <w:tcPr>
            <w:tcW w:w="538"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$4,108</w:t>
            </w:r>
          </w:p>
        </w:tc>
        <w:tc>
          <w:tcPr>
            <w:tcW w:w="585"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$5,115</w:t>
            </w:r>
          </w:p>
        </w:tc>
        <w:tc>
          <w:tcPr>
            <w:tcW w:w="674"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$1,007</w:t>
            </w:r>
          </w:p>
        </w:tc>
      </w:tr>
      <w:tr w:rsidR="00AC3C6E" w:rsidRPr="00D57304" w:rsidTr="002C0558">
        <w:trPr>
          <w:trHeight w:val="300"/>
        </w:trPr>
        <w:tc>
          <w:tcPr>
            <w:tcW w:w="850" w:type="pct"/>
            <w:vAlign w:val="center"/>
          </w:tcPr>
          <w:p w:rsidR="00AC3C6E" w:rsidRDefault="00AC3C6E" w:rsidP="00092CC1">
            <w:pPr>
              <w:rPr>
                <w:rFonts w:ascii="Calibri" w:hAnsi="Calibri"/>
                <w:color w:val="000000"/>
                <w:sz w:val="22"/>
                <w:szCs w:val="22"/>
              </w:rPr>
            </w:pPr>
            <w:r>
              <w:rPr>
                <w:rFonts w:ascii="Arial" w:hAnsi="Arial" w:cs="Arial"/>
                <w:color w:val="000000"/>
                <w:sz w:val="20"/>
                <w:szCs w:val="20"/>
              </w:rPr>
              <w:t>Electric Large Full-Size</w:t>
            </w:r>
          </w:p>
        </w:tc>
        <w:tc>
          <w:tcPr>
            <w:tcW w:w="544" w:type="pct"/>
          </w:tcPr>
          <w:p w:rsidR="00AC3C6E" w:rsidRDefault="00AC3C6E" w:rsidP="00092CC1">
            <w:pPr>
              <w:jc w:val="right"/>
              <w:rPr>
                <w:rFonts w:ascii="Calibri" w:hAnsi="Calibri" w:cs="Calibri"/>
                <w:color w:val="000000"/>
                <w:sz w:val="22"/>
                <w:szCs w:val="22"/>
              </w:rPr>
            </w:pPr>
          </w:p>
        </w:tc>
        <w:tc>
          <w:tcPr>
            <w:tcW w:w="54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$14,600</w:t>
            </w:r>
          </w:p>
        </w:tc>
        <w:tc>
          <w:tcPr>
            <w:tcW w:w="65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$15,899</w:t>
            </w:r>
          </w:p>
        </w:tc>
        <w:tc>
          <w:tcPr>
            <w:tcW w:w="61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$1,299</w:t>
            </w:r>
          </w:p>
        </w:tc>
        <w:tc>
          <w:tcPr>
            <w:tcW w:w="538"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$7,300</w:t>
            </w:r>
          </w:p>
        </w:tc>
        <w:tc>
          <w:tcPr>
            <w:tcW w:w="585"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$7,949</w:t>
            </w:r>
          </w:p>
        </w:tc>
        <w:tc>
          <w:tcPr>
            <w:tcW w:w="674"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$649</w:t>
            </w:r>
          </w:p>
        </w:tc>
      </w:tr>
      <w:tr w:rsidR="00AC3C6E" w:rsidRPr="00D57304" w:rsidTr="002C0558">
        <w:trPr>
          <w:trHeight w:val="300"/>
        </w:trPr>
        <w:tc>
          <w:tcPr>
            <w:tcW w:w="850" w:type="pct"/>
            <w:vAlign w:val="center"/>
          </w:tcPr>
          <w:p w:rsidR="00AC3C6E" w:rsidRDefault="00AC3C6E" w:rsidP="00092CC1">
            <w:pPr>
              <w:rPr>
                <w:rFonts w:ascii="Calibri" w:hAnsi="Calibri"/>
                <w:color w:val="000000"/>
                <w:sz w:val="22"/>
                <w:szCs w:val="22"/>
              </w:rPr>
            </w:pPr>
            <w:r>
              <w:rPr>
                <w:rFonts w:ascii="Arial" w:hAnsi="Arial" w:cs="Arial"/>
                <w:color w:val="000000"/>
                <w:sz w:val="20"/>
                <w:szCs w:val="20"/>
              </w:rPr>
              <w:t xml:space="preserve">Gas Half-Size </w:t>
            </w:r>
          </w:p>
        </w:tc>
        <w:tc>
          <w:tcPr>
            <w:tcW w:w="544" w:type="pct"/>
          </w:tcPr>
          <w:p w:rsidR="00AC3C6E" w:rsidRDefault="00AC3C6E" w:rsidP="00092CC1">
            <w:pPr>
              <w:jc w:val="right"/>
              <w:rPr>
                <w:rFonts w:ascii="Calibri" w:hAnsi="Calibri" w:cs="Calibri"/>
                <w:color w:val="000000"/>
                <w:sz w:val="22"/>
                <w:szCs w:val="22"/>
              </w:rPr>
            </w:pPr>
          </w:p>
        </w:tc>
        <w:tc>
          <w:tcPr>
            <w:tcW w:w="54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$7,228</w:t>
            </w:r>
          </w:p>
        </w:tc>
        <w:tc>
          <w:tcPr>
            <w:tcW w:w="65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$8,208</w:t>
            </w:r>
          </w:p>
        </w:tc>
        <w:tc>
          <w:tcPr>
            <w:tcW w:w="61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$980</w:t>
            </w:r>
          </w:p>
        </w:tc>
        <w:tc>
          <w:tcPr>
            <w:tcW w:w="538"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$3,614</w:t>
            </w:r>
          </w:p>
        </w:tc>
        <w:tc>
          <w:tcPr>
            <w:tcW w:w="585"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$4,104</w:t>
            </w:r>
          </w:p>
        </w:tc>
        <w:tc>
          <w:tcPr>
            <w:tcW w:w="674"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$490</w:t>
            </w:r>
          </w:p>
        </w:tc>
      </w:tr>
      <w:tr w:rsidR="00AC3C6E" w:rsidRPr="00D57304" w:rsidTr="002C0558">
        <w:trPr>
          <w:trHeight w:val="300"/>
        </w:trPr>
        <w:tc>
          <w:tcPr>
            <w:tcW w:w="850" w:type="pct"/>
            <w:vAlign w:val="center"/>
          </w:tcPr>
          <w:p w:rsidR="00AC3C6E" w:rsidRPr="00D57304" w:rsidRDefault="00AC3C6E" w:rsidP="00092CC1">
            <w:pPr>
              <w:rPr>
                <w:rFonts w:ascii="Calibri" w:hAnsi="Calibri"/>
                <w:color w:val="000000"/>
                <w:sz w:val="22"/>
                <w:szCs w:val="22"/>
              </w:rPr>
            </w:pPr>
            <w:r>
              <w:rPr>
                <w:rFonts w:ascii="Arial" w:hAnsi="Arial" w:cs="Arial"/>
                <w:color w:val="000000"/>
                <w:sz w:val="20"/>
                <w:szCs w:val="20"/>
              </w:rPr>
              <w:t>Gas Full-Size</w:t>
            </w:r>
          </w:p>
        </w:tc>
        <w:tc>
          <w:tcPr>
            <w:tcW w:w="544" w:type="pct"/>
          </w:tcPr>
          <w:p w:rsidR="00AC3C6E" w:rsidRDefault="00AC3C6E" w:rsidP="00092CC1">
            <w:pPr>
              <w:jc w:val="right"/>
              <w:rPr>
                <w:rFonts w:ascii="Calibri" w:hAnsi="Calibri" w:cs="Calibri"/>
                <w:color w:val="000000"/>
                <w:sz w:val="22"/>
                <w:szCs w:val="22"/>
              </w:rPr>
            </w:pPr>
            <w:r>
              <w:rPr>
                <w:rFonts w:ascii="Calibri" w:hAnsi="Calibri" w:cs="Calibri"/>
                <w:color w:val="000000"/>
                <w:sz w:val="22"/>
                <w:szCs w:val="22"/>
              </w:rPr>
              <w:t>F188</w:t>
            </w:r>
          </w:p>
        </w:tc>
        <w:tc>
          <w:tcPr>
            <w:tcW w:w="54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$8,697</w:t>
            </w:r>
          </w:p>
        </w:tc>
        <w:tc>
          <w:tcPr>
            <w:tcW w:w="65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$11,270</w:t>
            </w:r>
          </w:p>
        </w:tc>
        <w:tc>
          <w:tcPr>
            <w:tcW w:w="61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$2,573</w:t>
            </w:r>
          </w:p>
        </w:tc>
        <w:tc>
          <w:tcPr>
            <w:tcW w:w="538"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$4,349</w:t>
            </w:r>
          </w:p>
        </w:tc>
        <w:tc>
          <w:tcPr>
            <w:tcW w:w="585"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$5,635</w:t>
            </w:r>
          </w:p>
        </w:tc>
        <w:tc>
          <w:tcPr>
            <w:tcW w:w="674"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$1,286</w:t>
            </w:r>
          </w:p>
        </w:tc>
      </w:tr>
      <w:tr w:rsidR="00AC3C6E" w:rsidRPr="00D57304" w:rsidTr="002C0558">
        <w:trPr>
          <w:trHeight w:val="300"/>
        </w:trPr>
        <w:tc>
          <w:tcPr>
            <w:tcW w:w="850" w:type="pct"/>
            <w:vAlign w:val="center"/>
          </w:tcPr>
          <w:p w:rsidR="00AC3C6E" w:rsidRPr="00D57304" w:rsidRDefault="00AC3C6E" w:rsidP="00092CC1">
            <w:pPr>
              <w:rPr>
                <w:rFonts w:ascii="Calibri" w:hAnsi="Calibri"/>
                <w:color w:val="000000"/>
                <w:sz w:val="22"/>
                <w:szCs w:val="22"/>
              </w:rPr>
            </w:pPr>
            <w:r>
              <w:rPr>
                <w:rFonts w:ascii="Arial" w:hAnsi="Arial" w:cs="Arial"/>
                <w:color w:val="000000"/>
                <w:sz w:val="20"/>
                <w:szCs w:val="20"/>
              </w:rPr>
              <w:t>Gas Large Full-Size</w:t>
            </w:r>
          </w:p>
        </w:tc>
        <w:tc>
          <w:tcPr>
            <w:tcW w:w="544" w:type="pct"/>
          </w:tcPr>
          <w:p w:rsidR="00AC3C6E" w:rsidRDefault="00AC3C6E" w:rsidP="00092CC1">
            <w:pPr>
              <w:jc w:val="right"/>
              <w:rPr>
                <w:rFonts w:ascii="Calibri" w:hAnsi="Calibri" w:cs="Calibri"/>
                <w:color w:val="000000"/>
                <w:sz w:val="22"/>
                <w:szCs w:val="22"/>
              </w:rPr>
            </w:pPr>
          </w:p>
        </w:tc>
        <w:tc>
          <w:tcPr>
            <w:tcW w:w="543" w:type="pct"/>
            <w:shd w:val="clear" w:color="auto" w:fill="auto"/>
            <w:noWrap/>
          </w:tcPr>
          <w:p w:rsidR="00AC3C6E" w:rsidRPr="00D57304" w:rsidRDefault="00AC3C6E" w:rsidP="00092CC1">
            <w:pPr>
              <w:jc w:val="right"/>
              <w:rPr>
                <w:rFonts w:ascii="Calibri" w:hAnsi="Calibri"/>
                <w:color w:val="000000"/>
                <w:sz w:val="22"/>
                <w:szCs w:val="22"/>
              </w:rPr>
            </w:pPr>
            <w:r>
              <w:rPr>
                <w:rFonts w:ascii="Calibri" w:hAnsi="Calibri" w:cs="Calibri"/>
                <w:color w:val="000000"/>
                <w:sz w:val="22"/>
                <w:szCs w:val="22"/>
              </w:rPr>
              <w:t>N/A</w:t>
            </w:r>
          </w:p>
        </w:tc>
        <w:tc>
          <w:tcPr>
            <w:tcW w:w="653" w:type="pct"/>
            <w:shd w:val="clear" w:color="auto" w:fill="auto"/>
            <w:noWrap/>
          </w:tcPr>
          <w:p w:rsidR="00AC3C6E" w:rsidRPr="00D57304" w:rsidRDefault="00AC3C6E" w:rsidP="00092CC1">
            <w:pPr>
              <w:jc w:val="right"/>
              <w:rPr>
                <w:rFonts w:ascii="Calibri" w:hAnsi="Calibri"/>
                <w:color w:val="000000"/>
                <w:sz w:val="22"/>
                <w:szCs w:val="22"/>
              </w:rPr>
            </w:pPr>
            <w:r w:rsidRPr="00CC395F">
              <w:rPr>
                <w:rFonts w:ascii="Calibri" w:hAnsi="Calibri" w:cs="Calibri"/>
                <w:color w:val="000000"/>
                <w:sz w:val="22"/>
                <w:szCs w:val="22"/>
              </w:rPr>
              <w:t>N/A</w:t>
            </w:r>
          </w:p>
        </w:tc>
        <w:tc>
          <w:tcPr>
            <w:tcW w:w="613" w:type="pct"/>
            <w:shd w:val="clear" w:color="auto" w:fill="auto"/>
            <w:noWrap/>
          </w:tcPr>
          <w:p w:rsidR="00AC3C6E" w:rsidRPr="00D57304" w:rsidRDefault="00AC3C6E" w:rsidP="00092CC1">
            <w:pPr>
              <w:jc w:val="right"/>
              <w:rPr>
                <w:rFonts w:ascii="Calibri" w:hAnsi="Calibri"/>
                <w:color w:val="000000"/>
                <w:sz w:val="22"/>
                <w:szCs w:val="22"/>
              </w:rPr>
            </w:pPr>
            <w:r w:rsidRPr="00CC395F">
              <w:rPr>
                <w:rFonts w:ascii="Calibri" w:hAnsi="Calibri" w:cs="Calibri"/>
                <w:color w:val="000000"/>
                <w:sz w:val="22"/>
                <w:szCs w:val="22"/>
              </w:rPr>
              <w:t>N/A</w:t>
            </w:r>
          </w:p>
        </w:tc>
        <w:tc>
          <w:tcPr>
            <w:tcW w:w="538" w:type="pct"/>
            <w:shd w:val="clear" w:color="auto" w:fill="auto"/>
            <w:noWrap/>
          </w:tcPr>
          <w:p w:rsidR="00AC3C6E" w:rsidRPr="00D57304" w:rsidRDefault="00AC3C6E" w:rsidP="00092CC1">
            <w:pPr>
              <w:jc w:val="right"/>
              <w:rPr>
                <w:rFonts w:ascii="Calibri" w:hAnsi="Calibri"/>
                <w:color w:val="000000"/>
                <w:sz w:val="22"/>
                <w:szCs w:val="22"/>
              </w:rPr>
            </w:pPr>
            <w:r w:rsidRPr="00CC395F">
              <w:rPr>
                <w:rFonts w:ascii="Calibri" w:hAnsi="Calibri" w:cs="Calibri"/>
                <w:color w:val="000000"/>
                <w:sz w:val="22"/>
                <w:szCs w:val="22"/>
              </w:rPr>
              <w:t>N/A</w:t>
            </w:r>
          </w:p>
        </w:tc>
        <w:tc>
          <w:tcPr>
            <w:tcW w:w="585" w:type="pct"/>
            <w:shd w:val="clear" w:color="auto" w:fill="auto"/>
            <w:noWrap/>
          </w:tcPr>
          <w:p w:rsidR="00AC3C6E" w:rsidRPr="00D57304" w:rsidRDefault="00AC3C6E" w:rsidP="00092CC1">
            <w:pPr>
              <w:jc w:val="right"/>
              <w:rPr>
                <w:rFonts w:ascii="Calibri" w:hAnsi="Calibri"/>
                <w:color w:val="000000"/>
                <w:sz w:val="22"/>
                <w:szCs w:val="22"/>
              </w:rPr>
            </w:pPr>
            <w:r w:rsidRPr="00CC395F">
              <w:rPr>
                <w:rFonts w:ascii="Calibri" w:hAnsi="Calibri" w:cs="Calibri"/>
                <w:color w:val="000000"/>
                <w:sz w:val="22"/>
                <w:szCs w:val="22"/>
              </w:rPr>
              <w:t>N/A</w:t>
            </w:r>
          </w:p>
        </w:tc>
        <w:tc>
          <w:tcPr>
            <w:tcW w:w="674" w:type="pct"/>
            <w:shd w:val="clear" w:color="auto" w:fill="auto"/>
            <w:noWrap/>
          </w:tcPr>
          <w:p w:rsidR="00AC3C6E" w:rsidRPr="00D57304" w:rsidRDefault="00AC3C6E" w:rsidP="00092CC1">
            <w:pPr>
              <w:jc w:val="right"/>
              <w:rPr>
                <w:rFonts w:ascii="Calibri" w:hAnsi="Calibri"/>
                <w:color w:val="000000"/>
                <w:sz w:val="22"/>
                <w:szCs w:val="22"/>
              </w:rPr>
            </w:pPr>
            <w:r w:rsidRPr="00CC395F">
              <w:rPr>
                <w:rFonts w:ascii="Calibri" w:hAnsi="Calibri" w:cs="Calibri"/>
                <w:color w:val="000000"/>
                <w:sz w:val="22"/>
                <w:szCs w:val="22"/>
              </w:rPr>
              <w:t>N/A</w:t>
            </w:r>
          </w:p>
        </w:tc>
      </w:tr>
    </w:tbl>
    <w:p w:rsidR="00AC3C6E" w:rsidRDefault="00AC3C6E" w:rsidP="00AC3C6E">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Pr>
          <w:rFonts w:ascii="Arial" w:hAnsi="Arial" w:cs="Arial"/>
          <w:sz w:val="20"/>
          <w:szCs w:val="20"/>
        </w:rPr>
        <w:t>list prices from AutoQuotes catalog in 2012</w:t>
      </w:r>
    </w:p>
    <w:p w:rsidR="000216BC" w:rsidRDefault="00F578B9" w:rsidP="001B0B0D">
      <w:pPr>
        <w:pStyle w:val="TOC1"/>
        <w:rPr>
          <w:rFonts w:ascii="Arial" w:hAnsi="Arial" w:cs="Arial"/>
          <w:b/>
          <w:bCs/>
        </w:rPr>
      </w:pPr>
      <w:r>
        <w:br w:type="page"/>
      </w:r>
      <w:r w:rsidRPr="00EC0D6D">
        <w:lastRenderedPageBreak/>
        <w:t xml:space="preserve"> </w:t>
      </w:r>
      <w:r w:rsidR="000216BC">
        <w:rPr>
          <w:rFonts w:ascii="Arial" w:hAnsi="Arial" w:cs="Arial"/>
          <w:b/>
          <w:bCs/>
        </w:rPr>
        <w:t>Appendix A</w:t>
      </w:r>
    </w:p>
    <w:p w:rsidR="000216BC" w:rsidRDefault="000216BC" w:rsidP="00F578B9">
      <w:pPr>
        <w:keepNext/>
        <w:rPr>
          <w:rFonts w:ascii="Arial" w:hAnsi="Arial" w:cs="Arial"/>
          <w:b/>
          <w:bCs/>
        </w:rPr>
      </w:pPr>
    </w:p>
    <w:p w:rsidR="00F578B9" w:rsidRDefault="00F578B9" w:rsidP="00F578B9">
      <w:pPr>
        <w:keepNext/>
        <w:rPr>
          <w:rFonts w:ascii="Arial" w:hAnsi="Arial" w:cs="Arial"/>
          <w:b/>
          <w:bCs/>
        </w:rPr>
      </w:pPr>
      <w:r>
        <w:rPr>
          <w:rFonts w:ascii="Arial" w:hAnsi="Arial" w:cs="Arial"/>
          <w:b/>
          <w:bCs/>
        </w:rPr>
        <w:t xml:space="preserve">Equipment Cost Data for Electric </w:t>
      </w:r>
      <w:r w:rsidR="003B67F8">
        <w:rPr>
          <w:rFonts w:ascii="Arial" w:hAnsi="Arial" w:cs="Arial"/>
          <w:b/>
          <w:bCs/>
        </w:rPr>
        <w:t>Convection Ovens</w:t>
      </w:r>
      <w:r w:rsidR="003F21CB">
        <w:rPr>
          <w:rFonts w:ascii="Arial" w:hAnsi="Arial" w:cs="Arial"/>
          <w:b/>
          <w:bCs/>
        </w:rPr>
        <w:t xml:space="preserve"> Updated </w:t>
      </w:r>
      <w:r w:rsidR="0011755F">
        <w:rPr>
          <w:rFonts w:ascii="Arial" w:hAnsi="Arial" w:cs="Arial"/>
          <w:b/>
          <w:bCs/>
        </w:rPr>
        <w:t>201</w:t>
      </w:r>
      <w:r w:rsidR="003B67F8">
        <w:rPr>
          <w:rFonts w:ascii="Arial" w:hAnsi="Arial" w:cs="Arial"/>
          <w:b/>
          <w:bCs/>
        </w:rPr>
        <w:t>2</w:t>
      </w:r>
    </w:p>
    <w:p w:rsidR="00EB748C" w:rsidRDefault="00EB748C" w:rsidP="00F578B9">
      <w:pPr>
        <w:keepNext/>
        <w:rPr>
          <w:rFonts w:ascii="Arial" w:hAnsi="Arial" w:cs="Arial"/>
          <w:b/>
          <w:bCs/>
        </w:rPr>
      </w:pPr>
    </w:p>
    <w:tbl>
      <w:tblPr>
        <w:tblW w:w="38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886"/>
        <w:gridCol w:w="1530"/>
        <w:gridCol w:w="1530"/>
        <w:gridCol w:w="1168"/>
      </w:tblGrid>
      <w:tr w:rsidR="008E138C" w:rsidRPr="00AF09C6" w:rsidTr="008E138C">
        <w:trPr>
          <w:trHeight w:val="576"/>
          <w:tblHeader/>
          <w:jc w:val="center"/>
        </w:trPr>
        <w:tc>
          <w:tcPr>
            <w:tcW w:w="905" w:type="pct"/>
            <w:shd w:val="clear" w:color="auto" w:fill="auto"/>
            <w:noWrap/>
            <w:hideMark/>
          </w:tcPr>
          <w:p w:rsidR="008E138C" w:rsidRPr="00AF09C6" w:rsidRDefault="008E138C" w:rsidP="00AF09C6">
            <w:pPr>
              <w:rPr>
                <w:rFonts w:ascii="Calibri" w:hAnsi="Calibri" w:cs="Calibri"/>
                <w:sz w:val="22"/>
                <w:szCs w:val="22"/>
              </w:rPr>
            </w:pPr>
            <w:r w:rsidRPr="00AF09C6">
              <w:rPr>
                <w:rFonts w:ascii="Calibri" w:hAnsi="Calibri" w:cs="Calibri"/>
                <w:sz w:val="22"/>
                <w:szCs w:val="22"/>
              </w:rPr>
              <w:t>Designation</w:t>
            </w:r>
          </w:p>
        </w:tc>
        <w:tc>
          <w:tcPr>
            <w:tcW w:w="1263" w:type="pct"/>
            <w:shd w:val="clear" w:color="auto" w:fill="auto"/>
            <w:hideMark/>
          </w:tcPr>
          <w:p w:rsidR="008E138C" w:rsidRPr="00AF09C6" w:rsidRDefault="008E138C" w:rsidP="00AF09C6">
            <w:pPr>
              <w:rPr>
                <w:rFonts w:ascii="Calibri" w:hAnsi="Calibri" w:cs="Calibri"/>
                <w:sz w:val="22"/>
                <w:szCs w:val="22"/>
              </w:rPr>
            </w:pPr>
            <w:r w:rsidRPr="00AF09C6">
              <w:rPr>
                <w:rFonts w:ascii="Calibri" w:hAnsi="Calibri" w:cs="Calibri"/>
                <w:sz w:val="22"/>
                <w:szCs w:val="22"/>
              </w:rPr>
              <w:t>Group</w:t>
            </w:r>
          </w:p>
        </w:tc>
        <w:tc>
          <w:tcPr>
            <w:tcW w:w="1025" w:type="pct"/>
          </w:tcPr>
          <w:p w:rsidR="008E138C" w:rsidRPr="00AF09C6" w:rsidRDefault="008E138C" w:rsidP="00AF09C6">
            <w:pPr>
              <w:rPr>
                <w:rFonts w:ascii="Calibri" w:hAnsi="Calibri" w:cs="Calibri"/>
                <w:sz w:val="22"/>
                <w:szCs w:val="22"/>
              </w:rPr>
            </w:pPr>
            <w:r>
              <w:rPr>
                <w:rFonts w:ascii="Calibri" w:hAnsi="Calibri" w:cs="Calibri"/>
                <w:sz w:val="22"/>
                <w:szCs w:val="22"/>
              </w:rPr>
              <w:t>Size</w:t>
            </w:r>
          </w:p>
        </w:tc>
        <w:tc>
          <w:tcPr>
            <w:tcW w:w="1025" w:type="pct"/>
            <w:shd w:val="clear" w:color="auto" w:fill="auto"/>
            <w:noWrap/>
            <w:hideMark/>
          </w:tcPr>
          <w:p w:rsidR="008E138C" w:rsidRPr="00AF09C6" w:rsidRDefault="008E138C" w:rsidP="00AF09C6">
            <w:pPr>
              <w:rPr>
                <w:rFonts w:ascii="Calibri" w:hAnsi="Calibri" w:cs="Calibri"/>
                <w:sz w:val="22"/>
                <w:szCs w:val="22"/>
              </w:rPr>
            </w:pPr>
            <w:r w:rsidRPr="00AF09C6">
              <w:rPr>
                <w:rFonts w:ascii="Calibri" w:hAnsi="Calibri" w:cs="Calibri"/>
                <w:sz w:val="22"/>
                <w:szCs w:val="22"/>
              </w:rPr>
              <w:t>List Price ($)</w:t>
            </w:r>
          </w:p>
        </w:tc>
        <w:tc>
          <w:tcPr>
            <w:tcW w:w="782" w:type="pct"/>
            <w:shd w:val="clear" w:color="auto" w:fill="auto"/>
            <w:noWrap/>
            <w:hideMark/>
          </w:tcPr>
          <w:p w:rsidR="008E138C" w:rsidRPr="00AF09C6" w:rsidRDefault="008E138C" w:rsidP="00AF09C6">
            <w:pPr>
              <w:rPr>
                <w:rFonts w:ascii="Calibri" w:hAnsi="Calibri" w:cs="Calibri"/>
                <w:sz w:val="22"/>
                <w:szCs w:val="22"/>
              </w:rPr>
            </w:pPr>
            <w:r w:rsidRPr="00AF09C6">
              <w:rPr>
                <w:rFonts w:ascii="Calibri" w:hAnsi="Calibri" w:cs="Calibri"/>
                <w:sz w:val="22"/>
                <w:szCs w:val="22"/>
              </w:rPr>
              <w:t>Cost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B1</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$5,354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$2,677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B2</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Large Full-Size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$14,600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$7,300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B3</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$6,826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$3,413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B4</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$9,404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$4,702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B5</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$6,818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$3,409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B6</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$8,710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$4,355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B7</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$6,499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$3,250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B8</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$8,240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$4,120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B9</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$7,956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$3,978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B10</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$8,788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$4,394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B11</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$3,900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$1,950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B12</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$10,696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$5,348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B13</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$8,370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$4,185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B14</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$10,210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$5,105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EE1</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$10,864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$5,432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EE2</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$8,470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$4,235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EE3</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$12,775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$6,388 </w:t>
            </w:r>
          </w:p>
        </w:tc>
      </w:tr>
      <w:tr w:rsidR="001C4523" w:rsidRPr="00546108" w:rsidTr="0084317F">
        <w:trPr>
          <w:trHeight w:val="288"/>
          <w:jc w:val="center"/>
        </w:trPr>
        <w:tc>
          <w:tcPr>
            <w:tcW w:w="905"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EE4</w:t>
            </w:r>
          </w:p>
        </w:tc>
        <w:tc>
          <w:tcPr>
            <w:tcW w:w="1263" w:type="pct"/>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vAlign w:val="center"/>
          </w:tcPr>
          <w:p w:rsidR="001C4523" w:rsidRDefault="001C4523">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$9,120 </w:t>
            </w:r>
          </w:p>
        </w:tc>
        <w:tc>
          <w:tcPr>
            <w:tcW w:w="782" w:type="pct"/>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$4,560 </w:t>
            </w:r>
          </w:p>
        </w:tc>
      </w:tr>
      <w:tr w:rsidR="001C4523" w:rsidRPr="00546108" w:rsidTr="0084317F">
        <w:trPr>
          <w:trHeight w:val="288"/>
          <w:jc w:val="center"/>
        </w:trPr>
        <w:tc>
          <w:tcPr>
            <w:tcW w:w="905"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EE5</w:t>
            </w:r>
          </w:p>
        </w:tc>
        <w:tc>
          <w:tcPr>
            <w:tcW w:w="1263" w:type="pct"/>
            <w:shd w:val="clear" w:color="auto" w:fill="C0C0C0"/>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clear" w:color="auto" w:fill="C0C0C0"/>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$9,405 </w:t>
            </w:r>
          </w:p>
        </w:tc>
        <w:tc>
          <w:tcPr>
            <w:tcW w:w="782" w:type="pct"/>
            <w:shd w:val="clear" w:color="auto" w:fill="C0C0C0"/>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$4,703 </w:t>
            </w:r>
          </w:p>
        </w:tc>
      </w:tr>
      <w:tr w:rsidR="001C4523" w:rsidRPr="00546108" w:rsidTr="001C4523">
        <w:trPr>
          <w:trHeight w:val="288"/>
          <w:jc w:val="center"/>
        </w:trPr>
        <w:tc>
          <w:tcPr>
            <w:tcW w:w="905" w:type="pct"/>
            <w:tcBorders>
              <w:bottom w:val="single" w:sz="4" w:space="0" w:color="auto"/>
            </w:tcBorders>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EE6</w:t>
            </w:r>
          </w:p>
        </w:tc>
        <w:tc>
          <w:tcPr>
            <w:tcW w:w="1263" w:type="pct"/>
            <w:tcBorders>
              <w:bottom w:val="single" w:sz="4" w:space="0" w:color="auto"/>
            </w:tcBorders>
            <w:shd w:val="clear" w:color="auto" w:fill="auto"/>
            <w:noWrap/>
            <w:vAlign w:val="center"/>
            <w:hideMark/>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tcBorders>
              <w:bottom w:val="single" w:sz="4" w:space="0" w:color="auto"/>
            </w:tcBorders>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$11,915 </w:t>
            </w:r>
          </w:p>
        </w:tc>
        <w:tc>
          <w:tcPr>
            <w:tcW w:w="782" w:type="pct"/>
            <w:tcBorders>
              <w:bottom w:val="single" w:sz="4" w:space="0" w:color="auto"/>
            </w:tcBorders>
            <w:shd w:val="clear" w:color="auto" w:fill="auto"/>
            <w:noWrap/>
            <w:vAlign w:val="center"/>
            <w:hideMark/>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$5,958 </w:t>
            </w:r>
          </w:p>
        </w:tc>
      </w:tr>
      <w:tr w:rsidR="001C4523" w:rsidRPr="00546108" w:rsidTr="001C4523">
        <w:trPr>
          <w:trHeight w:val="288"/>
          <w:jc w:val="center"/>
        </w:trPr>
        <w:tc>
          <w:tcPr>
            <w:tcW w:w="905" w:type="pct"/>
            <w:shd w:val="pct25" w:color="auto" w:fill="auto"/>
            <w:noWrap/>
            <w:vAlign w:val="center"/>
          </w:tcPr>
          <w:p w:rsidR="001C4523" w:rsidRDefault="001C4523">
            <w:pPr>
              <w:rPr>
                <w:rFonts w:ascii="Calibri" w:hAnsi="Calibri" w:cs="Calibri"/>
                <w:color w:val="000000"/>
                <w:sz w:val="22"/>
                <w:szCs w:val="22"/>
              </w:rPr>
            </w:pPr>
            <w:r>
              <w:rPr>
                <w:rFonts w:ascii="Calibri" w:hAnsi="Calibri" w:cs="Calibri"/>
                <w:color w:val="000000"/>
                <w:sz w:val="22"/>
                <w:szCs w:val="22"/>
              </w:rPr>
              <w:t>EE7</w:t>
            </w:r>
          </w:p>
        </w:tc>
        <w:tc>
          <w:tcPr>
            <w:tcW w:w="1263" w:type="pct"/>
            <w:shd w:val="pct25" w:color="auto" w:fill="auto"/>
            <w:noWrap/>
            <w:vAlign w:val="center"/>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1C4523" w:rsidRDefault="001C4523">
            <w:pPr>
              <w:rPr>
                <w:rFonts w:ascii="Calibri" w:hAnsi="Calibri" w:cs="Calibri"/>
                <w:color w:val="000000"/>
                <w:sz w:val="22"/>
                <w:szCs w:val="22"/>
              </w:rPr>
            </w:pPr>
            <w:r>
              <w:rPr>
                <w:rFonts w:ascii="Calibri" w:hAnsi="Calibri" w:cs="Calibri"/>
                <w:color w:val="000000"/>
                <w:sz w:val="22"/>
                <w:szCs w:val="22"/>
              </w:rPr>
              <w:t>Large Full-Size</w:t>
            </w:r>
          </w:p>
        </w:tc>
        <w:tc>
          <w:tcPr>
            <w:tcW w:w="1025" w:type="pct"/>
            <w:shd w:val="pct25" w:color="auto" w:fill="auto"/>
            <w:noWrap/>
            <w:vAlign w:val="center"/>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$11,915 </w:t>
            </w:r>
          </w:p>
        </w:tc>
        <w:tc>
          <w:tcPr>
            <w:tcW w:w="782" w:type="pct"/>
            <w:shd w:val="pct25" w:color="auto" w:fill="auto"/>
            <w:noWrap/>
            <w:vAlign w:val="center"/>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$5,958 </w:t>
            </w:r>
          </w:p>
        </w:tc>
      </w:tr>
      <w:tr w:rsidR="001C4523" w:rsidRPr="00546108" w:rsidTr="001C4523">
        <w:trPr>
          <w:trHeight w:val="288"/>
          <w:jc w:val="center"/>
        </w:trPr>
        <w:tc>
          <w:tcPr>
            <w:tcW w:w="905" w:type="pct"/>
            <w:tcBorders>
              <w:bottom w:val="single" w:sz="4" w:space="0" w:color="auto"/>
            </w:tcBorders>
            <w:shd w:val="clear" w:color="auto" w:fill="auto"/>
            <w:noWrap/>
            <w:vAlign w:val="center"/>
          </w:tcPr>
          <w:p w:rsidR="001C4523" w:rsidRDefault="001C4523">
            <w:pPr>
              <w:rPr>
                <w:rFonts w:ascii="Calibri" w:hAnsi="Calibri" w:cs="Calibri"/>
                <w:color w:val="000000"/>
                <w:sz w:val="22"/>
                <w:szCs w:val="22"/>
              </w:rPr>
            </w:pPr>
            <w:r>
              <w:rPr>
                <w:rFonts w:ascii="Calibri" w:hAnsi="Calibri" w:cs="Calibri"/>
                <w:color w:val="000000"/>
                <w:sz w:val="22"/>
                <w:szCs w:val="22"/>
              </w:rPr>
              <w:t>EE8</w:t>
            </w:r>
          </w:p>
        </w:tc>
        <w:tc>
          <w:tcPr>
            <w:tcW w:w="1263" w:type="pct"/>
            <w:tcBorders>
              <w:bottom w:val="single" w:sz="4" w:space="0" w:color="auto"/>
            </w:tcBorders>
            <w:shd w:val="clear" w:color="auto" w:fill="auto"/>
            <w:noWrap/>
            <w:vAlign w:val="center"/>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1C4523" w:rsidRDefault="001C4523">
            <w:pPr>
              <w:rPr>
                <w:rFonts w:ascii="Calibri" w:hAnsi="Calibri" w:cs="Calibri"/>
                <w:color w:val="000000"/>
                <w:sz w:val="22"/>
                <w:szCs w:val="22"/>
              </w:rPr>
            </w:pPr>
            <w:r>
              <w:rPr>
                <w:rFonts w:ascii="Calibri" w:hAnsi="Calibri" w:cs="Calibri"/>
                <w:color w:val="000000"/>
                <w:sz w:val="22"/>
                <w:szCs w:val="22"/>
              </w:rPr>
              <w:t>Large Full-Size</w:t>
            </w:r>
          </w:p>
        </w:tc>
        <w:tc>
          <w:tcPr>
            <w:tcW w:w="1025" w:type="pct"/>
            <w:tcBorders>
              <w:bottom w:val="single" w:sz="4" w:space="0" w:color="auto"/>
            </w:tcBorders>
            <w:shd w:val="clear" w:color="auto" w:fill="auto"/>
            <w:noWrap/>
            <w:vAlign w:val="center"/>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$19,882 </w:t>
            </w:r>
          </w:p>
        </w:tc>
        <w:tc>
          <w:tcPr>
            <w:tcW w:w="782" w:type="pct"/>
            <w:tcBorders>
              <w:bottom w:val="single" w:sz="4" w:space="0" w:color="auto"/>
            </w:tcBorders>
            <w:shd w:val="clear" w:color="auto" w:fill="auto"/>
            <w:noWrap/>
            <w:vAlign w:val="center"/>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$9,941 </w:t>
            </w:r>
          </w:p>
        </w:tc>
      </w:tr>
      <w:tr w:rsidR="001C4523" w:rsidRPr="00546108" w:rsidTr="001C4523">
        <w:trPr>
          <w:trHeight w:val="288"/>
          <w:jc w:val="center"/>
        </w:trPr>
        <w:tc>
          <w:tcPr>
            <w:tcW w:w="905" w:type="pct"/>
            <w:shd w:val="pct25" w:color="auto" w:fill="auto"/>
            <w:noWrap/>
            <w:vAlign w:val="center"/>
          </w:tcPr>
          <w:p w:rsidR="001C4523" w:rsidRDefault="001C4523">
            <w:pPr>
              <w:rPr>
                <w:rFonts w:ascii="Calibri" w:hAnsi="Calibri" w:cs="Calibri"/>
                <w:color w:val="000000"/>
                <w:sz w:val="22"/>
                <w:szCs w:val="22"/>
              </w:rPr>
            </w:pPr>
            <w:r>
              <w:rPr>
                <w:rFonts w:ascii="Calibri" w:hAnsi="Calibri" w:cs="Calibri"/>
                <w:color w:val="000000"/>
                <w:sz w:val="22"/>
                <w:szCs w:val="22"/>
              </w:rPr>
              <w:t>EE9</w:t>
            </w:r>
          </w:p>
        </w:tc>
        <w:tc>
          <w:tcPr>
            <w:tcW w:w="1263" w:type="pct"/>
            <w:shd w:val="pct25" w:color="auto" w:fill="auto"/>
            <w:noWrap/>
            <w:vAlign w:val="center"/>
          </w:tcPr>
          <w:p w:rsidR="001C4523" w:rsidRDefault="001C4523">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1C4523" w:rsidRDefault="001C4523">
            <w:pPr>
              <w:rPr>
                <w:rFonts w:ascii="Calibri" w:hAnsi="Calibri" w:cs="Calibri"/>
                <w:color w:val="000000"/>
                <w:sz w:val="22"/>
                <w:szCs w:val="22"/>
              </w:rPr>
            </w:pPr>
            <w:r>
              <w:rPr>
                <w:rFonts w:ascii="Calibri" w:hAnsi="Calibri" w:cs="Calibri"/>
                <w:color w:val="000000"/>
                <w:sz w:val="22"/>
                <w:szCs w:val="22"/>
              </w:rPr>
              <w:t>Full-Size</w:t>
            </w:r>
          </w:p>
        </w:tc>
        <w:tc>
          <w:tcPr>
            <w:tcW w:w="1025" w:type="pct"/>
            <w:shd w:val="pct25" w:color="auto" w:fill="auto"/>
            <w:noWrap/>
            <w:vAlign w:val="center"/>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$6,188 </w:t>
            </w:r>
          </w:p>
        </w:tc>
        <w:tc>
          <w:tcPr>
            <w:tcW w:w="782" w:type="pct"/>
            <w:shd w:val="pct25" w:color="auto" w:fill="auto"/>
            <w:noWrap/>
            <w:vAlign w:val="center"/>
          </w:tcPr>
          <w:p w:rsidR="001C4523" w:rsidRDefault="001C4523">
            <w:pPr>
              <w:jc w:val="right"/>
              <w:rPr>
                <w:rFonts w:ascii="Calibri" w:hAnsi="Calibri" w:cs="Calibri"/>
                <w:color w:val="000000"/>
                <w:sz w:val="22"/>
                <w:szCs w:val="22"/>
              </w:rPr>
            </w:pPr>
            <w:r>
              <w:rPr>
                <w:rFonts w:ascii="Calibri" w:hAnsi="Calibri" w:cs="Calibri"/>
                <w:color w:val="000000"/>
                <w:sz w:val="22"/>
                <w:szCs w:val="22"/>
              </w:rPr>
              <w:t xml:space="preserve">$3,094 </w:t>
            </w:r>
          </w:p>
        </w:tc>
      </w:tr>
    </w:tbl>
    <w:p w:rsidR="00F578B9" w:rsidRDefault="00F578B9" w:rsidP="00F578B9">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sidR="00EB748C">
        <w:rPr>
          <w:rFonts w:ascii="Arial" w:hAnsi="Arial" w:cs="Arial"/>
          <w:sz w:val="20"/>
          <w:szCs w:val="20"/>
        </w:rPr>
        <w:t xml:space="preserve">list prices from </w:t>
      </w:r>
      <w:r w:rsidR="0011755F">
        <w:rPr>
          <w:rFonts w:ascii="Arial" w:hAnsi="Arial" w:cs="Arial"/>
          <w:sz w:val="20"/>
          <w:szCs w:val="20"/>
        </w:rPr>
        <w:t>AutoQuotes catalog in 201</w:t>
      </w:r>
      <w:r w:rsidR="003B67F8">
        <w:rPr>
          <w:rFonts w:ascii="Arial" w:hAnsi="Arial" w:cs="Arial"/>
          <w:sz w:val="20"/>
          <w:szCs w:val="20"/>
        </w:rPr>
        <w:t>2</w:t>
      </w: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0E177C" w:rsidRDefault="000E177C" w:rsidP="00F578B9">
      <w:pPr>
        <w:rPr>
          <w:rFonts w:ascii="Arial" w:hAnsi="Arial" w:cs="Arial"/>
          <w:sz w:val="20"/>
          <w:szCs w:val="20"/>
        </w:rPr>
      </w:pPr>
    </w:p>
    <w:p w:rsidR="009F3546" w:rsidRPr="00281142" w:rsidRDefault="009F3546" w:rsidP="00F578B9">
      <w:pPr>
        <w:rPr>
          <w:rFonts w:ascii="Arial" w:hAnsi="Arial" w:cs="Arial"/>
          <w:sz w:val="20"/>
          <w:szCs w:val="20"/>
        </w:rPr>
      </w:pPr>
    </w:p>
    <w:p w:rsidR="00F578B9" w:rsidRDefault="00F578B9" w:rsidP="00F578B9">
      <w:pPr>
        <w:keepNext/>
        <w:rPr>
          <w:rFonts w:ascii="Arial" w:hAnsi="Arial" w:cs="Arial"/>
          <w:b/>
          <w:bCs/>
        </w:rPr>
      </w:pPr>
      <w:r>
        <w:rPr>
          <w:rFonts w:ascii="Arial" w:hAnsi="Arial" w:cs="Arial"/>
          <w:b/>
          <w:bCs/>
        </w:rPr>
        <w:lastRenderedPageBreak/>
        <w:t xml:space="preserve">Equipment Cost Data for Gas </w:t>
      </w:r>
      <w:r w:rsidR="005C537F">
        <w:rPr>
          <w:rFonts w:ascii="Arial" w:hAnsi="Arial" w:cs="Arial"/>
          <w:b/>
          <w:bCs/>
        </w:rPr>
        <w:t xml:space="preserve">Commercial </w:t>
      </w:r>
      <w:r w:rsidR="003B67F8">
        <w:rPr>
          <w:rFonts w:ascii="Arial" w:hAnsi="Arial" w:cs="Arial"/>
          <w:b/>
          <w:bCs/>
        </w:rPr>
        <w:t>Convection Ovens</w:t>
      </w:r>
      <w:r w:rsidR="003F21CB">
        <w:rPr>
          <w:rFonts w:ascii="Arial" w:hAnsi="Arial" w:cs="Arial"/>
          <w:b/>
          <w:bCs/>
        </w:rPr>
        <w:t xml:space="preserve"> Updated </w:t>
      </w:r>
      <w:r w:rsidR="0011755F">
        <w:rPr>
          <w:rFonts w:ascii="Arial" w:hAnsi="Arial" w:cs="Arial"/>
          <w:b/>
          <w:bCs/>
        </w:rPr>
        <w:t>201</w:t>
      </w:r>
      <w:r w:rsidR="003B67F8">
        <w:rPr>
          <w:rFonts w:ascii="Arial" w:hAnsi="Arial" w:cs="Arial"/>
          <w:b/>
          <w:bCs/>
        </w:rPr>
        <w:t>2</w:t>
      </w:r>
    </w:p>
    <w:tbl>
      <w:tblPr>
        <w:tblW w:w="38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3"/>
        <w:gridCol w:w="1886"/>
        <w:gridCol w:w="1530"/>
        <w:gridCol w:w="1530"/>
        <w:gridCol w:w="1166"/>
      </w:tblGrid>
      <w:tr w:rsidR="00BE1C3F" w:rsidRPr="00AF09C6" w:rsidTr="00BE1C3F">
        <w:trPr>
          <w:trHeight w:val="576"/>
          <w:tblHeader/>
          <w:jc w:val="center"/>
        </w:trPr>
        <w:tc>
          <w:tcPr>
            <w:tcW w:w="906" w:type="pct"/>
            <w:shd w:val="clear" w:color="auto" w:fill="auto"/>
            <w:noWrap/>
            <w:hideMark/>
          </w:tcPr>
          <w:p w:rsidR="00BE1C3F" w:rsidRPr="00AF09C6" w:rsidRDefault="00BE1C3F" w:rsidP="004D066A">
            <w:pPr>
              <w:rPr>
                <w:rFonts w:ascii="Calibri" w:hAnsi="Calibri" w:cs="Calibri"/>
                <w:sz w:val="22"/>
                <w:szCs w:val="22"/>
              </w:rPr>
            </w:pPr>
            <w:r w:rsidRPr="00AF09C6">
              <w:rPr>
                <w:rFonts w:ascii="Calibri" w:hAnsi="Calibri" w:cs="Calibri"/>
                <w:sz w:val="22"/>
                <w:szCs w:val="22"/>
              </w:rPr>
              <w:t>Designation</w:t>
            </w:r>
          </w:p>
        </w:tc>
        <w:tc>
          <w:tcPr>
            <w:tcW w:w="1263" w:type="pct"/>
            <w:shd w:val="clear" w:color="auto" w:fill="auto"/>
            <w:hideMark/>
          </w:tcPr>
          <w:p w:rsidR="00BE1C3F" w:rsidRPr="00AF09C6" w:rsidRDefault="00BE1C3F" w:rsidP="004D066A">
            <w:pPr>
              <w:rPr>
                <w:rFonts w:ascii="Calibri" w:hAnsi="Calibri" w:cs="Calibri"/>
                <w:sz w:val="22"/>
                <w:szCs w:val="22"/>
              </w:rPr>
            </w:pPr>
            <w:r w:rsidRPr="00AF09C6">
              <w:rPr>
                <w:rFonts w:ascii="Calibri" w:hAnsi="Calibri" w:cs="Calibri"/>
                <w:sz w:val="22"/>
                <w:szCs w:val="22"/>
              </w:rPr>
              <w:t>Group</w:t>
            </w:r>
          </w:p>
        </w:tc>
        <w:tc>
          <w:tcPr>
            <w:tcW w:w="1025" w:type="pct"/>
          </w:tcPr>
          <w:p w:rsidR="00BE1C3F" w:rsidRPr="00AF09C6" w:rsidRDefault="00BE1C3F" w:rsidP="004D066A">
            <w:pPr>
              <w:rPr>
                <w:rFonts w:ascii="Calibri" w:hAnsi="Calibri" w:cs="Calibri"/>
                <w:sz w:val="22"/>
                <w:szCs w:val="22"/>
              </w:rPr>
            </w:pPr>
            <w:r>
              <w:rPr>
                <w:rFonts w:ascii="Calibri" w:hAnsi="Calibri" w:cs="Calibri"/>
                <w:sz w:val="22"/>
                <w:szCs w:val="22"/>
              </w:rPr>
              <w:t>Size</w:t>
            </w:r>
          </w:p>
        </w:tc>
        <w:tc>
          <w:tcPr>
            <w:tcW w:w="1025" w:type="pct"/>
            <w:shd w:val="clear" w:color="auto" w:fill="auto"/>
            <w:noWrap/>
            <w:hideMark/>
          </w:tcPr>
          <w:p w:rsidR="00BE1C3F" w:rsidRPr="00AF09C6" w:rsidRDefault="00BE1C3F" w:rsidP="004D066A">
            <w:pPr>
              <w:rPr>
                <w:rFonts w:ascii="Calibri" w:hAnsi="Calibri" w:cs="Calibri"/>
                <w:sz w:val="22"/>
                <w:szCs w:val="22"/>
              </w:rPr>
            </w:pPr>
            <w:r w:rsidRPr="00AF09C6">
              <w:rPr>
                <w:rFonts w:ascii="Calibri" w:hAnsi="Calibri" w:cs="Calibri"/>
                <w:sz w:val="22"/>
                <w:szCs w:val="22"/>
              </w:rPr>
              <w:t>List Price ($)</w:t>
            </w:r>
          </w:p>
        </w:tc>
        <w:tc>
          <w:tcPr>
            <w:tcW w:w="781" w:type="pct"/>
            <w:shd w:val="clear" w:color="auto" w:fill="auto"/>
            <w:noWrap/>
            <w:hideMark/>
          </w:tcPr>
          <w:p w:rsidR="00BE1C3F" w:rsidRPr="00AF09C6" w:rsidRDefault="00BE1C3F" w:rsidP="004D066A">
            <w:pPr>
              <w:rPr>
                <w:rFonts w:ascii="Calibri" w:hAnsi="Calibri" w:cs="Calibri"/>
                <w:sz w:val="22"/>
                <w:szCs w:val="22"/>
              </w:rPr>
            </w:pPr>
            <w:r w:rsidRPr="00AF09C6">
              <w:rPr>
                <w:rFonts w:ascii="Calibri" w:hAnsi="Calibri" w:cs="Calibri"/>
                <w:sz w:val="22"/>
                <w:szCs w:val="22"/>
              </w:rPr>
              <w:t>Cost ($)*</w:t>
            </w:r>
          </w:p>
        </w:tc>
      </w:tr>
      <w:tr w:rsidR="00160684" w:rsidRPr="00546108" w:rsidTr="0084317F">
        <w:trPr>
          <w:trHeight w:val="288"/>
          <w:jc w:val="center"/>
        </w:trPr>
        <w:tc>
          <w:tcPr>
            <w:tcW w:w="906"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B1</w:t>
            </w:r>
          </w:p>
        </w:tc>
        <w:tc>
          <w:tcPr>
            <w:tcW w:w="1263"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60684" w:rsidRDefault="00160684">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$10,155 </w:t>
            </w:r>
          </w:p>
        </w:tc>
        <w:tc>
          <w:tcPr>
            <w:tcW w:w="781"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$5,078 </w:t>
            </w:r>
          </w:p>
        </w:tc>
      </w:tr>
      <w:tr w:rsidR="00160684" w:rsidRPr="00546108" w:rsidTr="0084317F">
        <w:trPr>
          <w:trHeight w:val="288"/>
          <w:jc w:val="center"/>
        </w:trPr>
        <w:tc>
          <w:tcPr>
            <w:tcW w:w="906"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B2</w:t>
            </w:r>
          </w:p>
        </w:tc>
        <w:tc>
          <w:tcPr>
            <w:tcW w:w="1263"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$6,818 </w:t>
            </w:r>
          </w:p>
        </w:tc>
        <w:tc>
          <w:tcPr>
            <w:tcW w:w="781"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$3,409 </w:t>
            </w:r>
          </w:p>
        </w:tc>
      </w:tr>
      <w:tr w:rsidR="00160684" w:rsidRPr="00546108" w:rsidTr="0084317F">
        <w:trPr>
          <w:trHeight w:val="288"/>
          <w:jc w:val="center"/>
        </w:trPr>
        <w:tc>
          <w:tcPr>
            <w:tcW w:w="906"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B3</w:t>
            </w:r>
          </w:p>
        </w:tc>
        <w:tc>
          <w:tcPr>
            <w:tcW w:w="1263"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60684" w:rsidRDefault="00160684">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$5,492 </w:t>
            </w:r>
          </w:p>
        </w:tc>
        <w:tc>
          <w:tcPr>
            <w:tcW w:w="781"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$2,746 </w:t>
            </w:r>
          </w:p>
        </w:tc>
      </w:tr>
      <w:tr w:rsidR="00160684" w:rsidRPr="00546108" w:rsidTr="0084317F">
        <w:trPr>
          <w:trHeight w:val="288"/>
          <w:jc w:val="center"/>
        </w:trPr>
        <w:tc>
          <w:tcPr>
            <w:tcW w:w="906"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B4</w:t>
            </w:r>
          </w:p>
        </w:tc>
        <w:tc>
          <w:tcPr>
            <w:tcW w:w="1263"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$8,640 </w:t>
            </w:r>
          </w:p>
        </w:tc>
        <w:tc>
          <w:tcPr>
            <w:tcW w:w="781"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$4,320 </w:t>
            </w:r>
          </w:p>
        </w:tc>
      </w:tr>
      <w:tr w:rsidR="00160684" w:rsidRPr="00546108" w:rsidTr="0084317F">
        <w:trPr>
          <w:trHeight w:val="288"/>
          <w:jc w:val="center"/>
        </w:trPr>
        <w:tc>
          <w:tcPr>
            <w:tcW w:w="906"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B5</w:t>
            </w:r>
          </w:p>
        </w:tc>
        <w:tc>
          <w:tcPr>
            <w:tcW w:w="1263"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$8,414 </w:t>
            </w:r>
          </w:p>
        </w:tc>
        <w:tc>
          <w:tcPr>
            <w:tcW w:w="781"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$4,207 </w:t>
            </w:r>
          </w:p>
        </w:tc>
      </w:tr>
      <w:tr w:rsidR="00160684" w:rsidRPr="00546108" w:rsidTr="001C4523">
        <w:trPr>
          <w:trHeight w:val="288"/>
          <w:jc w:val="center"/>
        </w:trPr>
        <w:tc>
          <w:tcPr>
            <w:tcW w:w="906" w:type="pct"/>
            <w:tcBorders>
              <w:bottom w:val="single" w:sz="4" w:space="0" w:color="auto"/>
            </w:tcBorders>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B6</w:t>
            </w:r>
          </w:p>
        </w:tc>
        <w:tc>
          <w:tcPr>
            <w:tcW w:w="1263" w:type="pct"/>
            <w:tcBorders>
              <w:bottom w:val="single" w:sz="4" w:space="0" w:color="auto"/>
            </w:tcBorders>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tcBorders>
              <w:bottom w:val="single" w:sz="4" w:space="0" w:color="auto"/>
            </w:tcBorders>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$9,707 </w:t>
            </w:r>
          </w:p>
        </w:tc>
        <w:tc>
          <w:tcPr>
            <w:tcW w:w="781" w:type="pct"/>
            <w:tcBorders>
              <w:bottom w:val="single" w:sz="4" w:space="0" w:color="auto"/>
            </w:tcBorders>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$4,854 </w:t>
            </w:r>
          </w:p>
        </w:tc>
      </w:tr>
      <w:tr w:rsidR="00160684" w:rsidRPr="00546108" w:rsidTr="001C4523">
        <w:trPr>
          <w:trHeight w:val="288"/>
          <w:jc w:val="center"/>
        </w:trPr>
        <w:tc>
          <w:tcPr>
            <w:tcW w:w="906"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B7</w:t>
            </w:r>
          </w:p>
        </w:tc>
        <w:tc>
          <w:tcPr>
            <w:tcW w:w="1263"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$12,566 </w:t>
            </w:r>
          </w:p>
        </w:tc>
        <w:tc>
          <w:tcPr>
            <w:tcW w:w="781"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$6,283 </w:t>
            </w:r>
          </w:p>
        </w:tc>
      </w:tr>
      <w:tr w:rsidR="00160684" w:rsidRPr="00546108" w:rsidTr="001C4523">
        <w:trPr>
          <w:trHeight w:val="288"/>
          <w:jc w:val="center"/>
        </w:trPr>
        <w:tc>
          <w:tcPr>
            <w:tcW w:w="906" w:type="pct"/>
            <w:tcBorders>
              <w:bottom w:val="single" w:sz="4" w:space="0" w:color="auto"/>
            </w:tcBorders>
            <w:shd w:val="clear"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B8</w:t>
            </w:r>
          </w:p>
        </w:tc>
        <w:tc>
          <w:tcPr>
            <w:tcW w:w="1263" w:type="pct"/>
            <w:tcBorders>
              <w:bottom w:val="single" w:sz="4" w:space="0" w:color="auto"/>
            </w:tcBorders>
            <w:shd w:val="clear"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tcBorders>
              <w:bottom w:val="single" w:sz="4" w:space="0" w:color="auto"/>
            </w:tcBorders>
            <w:shd w:val="clear"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$10,488 </w:t>
            </w:r>
          </w:p>
        </w:tc>
        <w:tc>
          <w:tcPr>
            <w:tcW w:w="781" w:type="pct"/>
            <w:tcBorders>
              <w:bottom w:val="single" w:sz="4" w:space="0" w:color="auto"/>
            </w:tcBorders>
            <w:shd w:val="clear"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$5,244 </w:t>
            </w:r>
          </w:p>
        </w:tc>
      </w:tr>
      <w:tr w:rsidR="00160684" w:rsidRPr="00546108" w:rsidTr="001C4523">
        <w:trPr>
          <w:trHeight w:val="288"/>
          <w:jc w:val="center"/>
        </w:trPr>
        <w:tc>
          <w:tcPr>
            <w:tcW w:w="906"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B9</w:t>
            </w:r>
          </w:p>
        </w:tc>
        <w:tc>
          <w:tcPr>
            <w:tcW w:w="1263"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$5,378 </w:t>
            </w:r>
          </w:p>
        </w:tc>
        <w:tc>
          <w:tcPr>
            <w:tcW w:w="781"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$2,689 </w:t>
            </w:r>
          </w:p>
        </w:tc>
      </w:tr>
      <w:tr w:rsidR="00160684" w:rsidRPr="00546108" w:rsidTr="0084317F">
        <w:trPr>
          <w:trHeight w:val="288"/>
          <w:jc w:val="center"/>
        </w:trPr>
        <w:tc>
          <w:tcPr>
            <w:tcW w:w="906" w:type="pct"/>
            <w:shd w:val="clear"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B10</w:t>
            </w:r>
          </w:p>
        </w:tc>
        <w:tc>
          <w:tcPr>
            <w:tcW w:w="1263" w:type="pct"/>
            <w:shd w:val="clear"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160684" w:rsidRDefault="00160684">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$6,037 </w:t>
            </w:r>
          </w:p>
        </w:tc>
        <w:tc>
          <w:tcPr>
            <w:tcW w:w="781" w:type="pct"/>
            <w:shd w:val="clear"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$3,019 </w:t>
            </w:r>
          </w:p>
        </w:tc>
      </w:tr>
      <w:tr w:rsidR="00160684" w:rsidRPr="00546108" w:rsidTr="0084317F">
        <w:trPr>
          <w:trHeight w:val="288"/>
          <w:jc w:val="center"/>
        </w:trPr>
        <w:tc>
          <w:tcPr>
            <w:tcW w:w="906"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EE1</w:t>
            </w:r>
          </w:p>
        </w:tc>
        <w:tc>
          <w:tcPr>
            <w:tcW w:w="1263"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clear" w:color="auto" w:fill="C0C0C0"/>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$7,567 </w:t>
            </w:r>
          </w:p>
        </w:tc>
        <w:tc>
          <w:tcPr>
            <w:tcW w:w="781"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$3,784 </w:t>
            </w:r>
          </w:p>
        </w:tc>
      </w:tr>
      <w:tr w:rsidR="00160684" w:rsidRPr="00546108" w:rsidTr="0084317F">
        <w:trPr>
          <w:trHeight w:val="288"/>
          <w:jc w:val="center"/>
        </w:trPr>
        <w:tc>
          <w:tcPr>
            <w:tcW w:w="906"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EE2</w:t>
            </w:r>
          </w:p>
        </w:tc>
        <w:tc>
          <w:tcPr>
            <w:tcW w:w="1263"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$14,015 </w:t>
            </w:r>
          </w:p>
        </w:tc>
        <w:tc>
          <w:tcPr>
            <w:tcW w:w="781"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$7,008 </w:t>
            </w:r>
          </w:p>
        </w:tc>
      </w:tr>
      <w:tr w:rsidR="00160684" w:rsidRPr="00546108" w:rsidTr="0084317F">
        <w:trPr>
          <w:trHeight w:val="288"/>
          <w:jc w:val="center"/>
        </w:trPr>
        <w:tc>
          <w:tcPr>
            <w:tcW w:w="906"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EE3</w:t>
            </w:r>
          </w:p>
        </w:tc>
        <w:tc>
          <w:tcPr>
            <w:tcW w:w="1263"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clear" w:color="auto" w:fill="C0C0C0"/>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$11,340 </w:t>
            </w:r>
          </w:p>
        </w:tc>
        <w:tc>
          <w:tcPr>
            <w:tcW w:w="781"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$5,670 </w:t>
            </w:r>
          </w:p>
        </w:tc>
      </w:tr>
      <w:tr w:rsidR="00160684" w:rsidRPr="00546108" w:rsidTr="0084317F">
        <w:trPr>
          <w:trHeight w:val="288"/>
          <w:jc w:val="center"/>
        </w:trPr>
        <w:tc>
          <w:tcPr>
            <w:tcW w:w="906"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EE4</w:t>
            </w:r>
          </w:p>
        </w:tc>
        <w:tc>
          <w:tcPr>
            <w:tcW w:w="1263"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$12,718 </w:t>
            </w:r>
          </w:p>
        </w:tc>
        <w:tc>
          <w:tcPr>
            <w:tcW w:w="781"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$6,359 </w:t>
            </w:r>
          </w:p>
        </w:tc>
      </w:tr>
      <w:tr w:rsidR="00160684" w:rsidRPr="00546108" w:rsidTr="0084317F">
        <w:trPr>
          <w:trHeight w:val="288"/>
          <w:jc w:val="center"/>
        </w:trPr>
        <w:tc>
          <w:tcPr>
            <w:tcW w:w="906"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EE5</w:t>
            </w:r>
          </w:p>
        </w:tc>
        <w:tc>
          <w:tcPr>
            <w:tcW w:w="1263"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clear" w:color="auto" w:fill="C0C0C0"/>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$10,582 </w:t>
            </w:r>
          </w:p>
        </w:tc>
        <w:tc>
          <w:tcPr>
            <w:tcW w:w="781"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$5,291 </w:t>
            </w:r>
          </w:p>
        </w:tc>
      </w:tr>
      <w:tr w:rsidR="00160684" w:rsidRPr="00546108" w:rsidTr="0084317F">
        <w:trPr>
          <w:trHeight w:val="288"/>
          <w:jc w:val="center"/>
        </w:trPr>
        <w:tc>
          <w:tcPr>
            <w:tcW w:w="906"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EE6</w:t>
            </w:r>
          </w:p>
        </w:tc>
        <w:tc>
          <w:tcPr>
            <w:tcW w:w="1263" w:type="pct"/>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vAlign w:val="center"/>
          </w:tcPr>
          <w:p w:rsidR="00160684" w:rsidRDefault="00160684">
            <w:pPr>
              <w:rPr>
                <w:rFonts w:ascii="Calibri" w:hAnsi="Calibri" w:cs="Calibri"/>
                <w:color w:val="000000"/>
                <w:sz w:val="22"/>
                <w:szCs w:val="22"/>
              </w:rPr>
            </w:pPr>
            <w:r>
              <w:rPr>
                <w:rFonts w:ascii="Calibri" w:hAnsi="Calibri" w:cs="Calibri"/>
                <w:color w:val="000000"/>
                <w:sz w:val="22"/>
                <w:szCs w:val="22"/>
              </w:rPr>
              <w:t>Half-Size</w:t>
            </w:r>
          </w:p>
        </w:tc>
        <w:tc>
          <w:tcPr>
            <w:tcW w:w="1025"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$5,786 </w:t>
            </w:r>
          </w:p>
        </w:tc>
        <w:tc>
          <w:tcPr>
            <w:tcW w:w="781" w:type="pct"/>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$2,893 </w:t>
            </w:r>
          </w:p>
        </w:tc>
      </w:tr>
      <w:tr w:rsidR="00160684" w:rsidRPr="00546108" w:rsidTr="0084317F">
        <w:trPr>
          <w:trHeight w:val="288"/>
          <w:jc w:val="center"/>
        </w:trPr>
        <w:tc>
          <w:tcPr>
            <w:tcW w:w="906"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EE7</w:t>
            </w:r>
          </w:p>
        </w:tc>
        <w:tc>
          <w:tcPr>
            <w:tcW w:w="1263" w:type="pct"/>
            <w:shd w:val="clear" w:color="auto" w:fill="C0C0C0"/>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clear" w:color="auto" w:fill="C0C0C0"/>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$8,546 </w:t>
            </w:r>
          </w:p>
        </w:tc>
        <w:tc>
          <w:tcPr>
            <w:tcW w:w="781" w:type="pct"/>
            <w:shd w:val="clear" w:color="auto" w:fill="C0C0C0"/>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$4,273 </w:t>
            </w:r>
          </w:p>
        </w:tc>
      </w:tr>
      <w:tr w:rsidR="00160684" w:rsidRPr="00546108" w:rsidTr="001C4523">
        <w:trPr>
          <w:trHeight w:val="288"/>
          <w:jc w:val="center"/>
        </w:trPr>
        <w:tc>
          <w:tcPr>
            <w:tcW w:w="906" w:type="pct"/>
            <w:tcBorders>
              <w:bottom w:val="single" w:sz="4" w:space="0" w:color="auto"/>
            </w:tcBorders>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EE8</w:t>
            </w:r>
          </w:p>
        </w:tc>
        <w:tc>
          <w:tcPr>
            <w:tcW w:w="1263" w:type="pct"/>
            <w:tcBorders>
              <w:bottom w:val="single" w:sz="4" w:space="0" w:color="auto"/>
            </w:tcBorders>
            <w:shd w:val="clear" w:color="auto" w:fill="auto"/>
            <w:noWrap/>
            <w:vAlign w:val="center"/>
            <w:hideMark/>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160684" w:rsidRDefault="00160684">
            <w:pPr>
              <w:rPr>
                <w:rFonts w:ascii="Calibri" w:hAnsi="Calibri" w:cs="Calibri"/>
                <w:color w:val="000000"/>
                <w:sz w:val="22"/>
                <w:szCs w:val="22"/>
              </w:rPr>
            </w:pPr>
            <w:r>
              <w:rPr>
                <w:rFonts w:ascii="Calibri" w:hAnsi="Calibri" w:cs="Calibri"/>
                <w:color w:val="000000"/>
                <w:sz w:val="22"/>
                <w:szCs w:val="22"/>
              </w:rPr>
              <w:t>Half-Size</w:t>
            </w:r>
          </w:p>
        </w:tc>
        <w:tc>
          <w:tcPr>
            <w:tcW w:w="1025" w:type="pct"/>
            <w:tcBorders>
              <w:bottom w:val="single" w:sz="4" w:space="0" w:color="auto"/>
            </w:tcBorders>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$10,630 </w:t>
            </w:r>
          </w:p>
        </w:tc>
        <w:tc>
          <w:tcPr>
            <w:tcW w:w="781" w:type="pct"/>
            <w:tcBorders>
              <w:bottom w:val="single" w:sz="4" w:space="0" w:color="auto"/>
            </w:tcBorders>
            <w:shd w:val="clear" w:color="auto" w:fill="auto"/>
            <w:noWrap/>
            <w:vAlign w:val="center"/>
            <w:hideMark/>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$5,315 </w:t>
            </w:r>
          </w:p>
        </w:tc>
      </w:tr>
      <w:tr w:rsidR="00160684" w:rsidRPr="00546108" w:rsidTr="001C4523">
        <w:trPr>
          <w:trHeight w:val="288"/>
          <w:jc w:val="center"/>
        </w:trPr>
        <w:tc>
          <w:tcPr>
            <w:tcW w:w="906"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EE9</w:t>
            </w:r>
          </w:p>
        </w:tc>
        <w:tc>
          <w:tcPr>
            <w:tcW w:w="1263"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$13,050 </w:t>
            </w:r>
          </w:p>
        </w:tc>
        <w:tc>
          <w:tcPr>
            <w:tcW w:w="781"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$6,525 </w:t>
            </w:r>
          </w:p>
        </w:tc>
      </w:tr>
      <w:tr w:rsidR="00160684" w:rsidRPr="00546108" w:rsidTr="001C4523">
        <w:trPr>
          <w:trHeight w:val="288"/>
          <w:jc w:val="center"/>
        </w:trPr>
        <w:tc>
          <w:tcPr>
            <w:tcW w:w="906" w:type="pct"/>
            <w:tcBorders>
              <w:bottom w:val="single" w:sz="4" w:space="0" w:color="auto"/>
            </w:tcBorders>
            <w:shd w:val="clear"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EE10</w:t>
            </w:r>
          </w:p>
        </w:tc>
        <w:tc>
          <w:tcPr>
            <w:tcW w:w="1263" w:type="pct"/>
            <w:tcBorders>
              <w:bottom w:val="single" w:sz="4" w:space="0" w:color="auto"/>
            </w:tcBorders>
            <w:shd w:val="clear"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tcBorders>
              <w:bottom w:val="single" w:sz="4" w:space="0" w:color="auto"/>
            </w:tcBorders>
            <w:shd w:val="clear"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$10,210 </w:t>
            </w:r>
          </w:p>
        </w:tc>
        <w:tc>
          <w:tcPr>
            <w:tcW w:w="781" w:type="pct"/>
            <w:tcBorders>
              <w:bottom w:val="single" w:sz="4" w:space="0" w:color="auto"/>
            </w:tcBorders>
            <w:shd w:val="clear"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$5,105 </w:t>
            </w:r>
          </w:p>
        </w:tc>
      </w:tr>
      <w:tr w:rsidR="00160684" w:rsidRPr="00546108" w:rsidTr="001C4523">
        <w:trPr>
          <w:trHeight w:val="288"/>
          <w:jc w:val="center"/>
        </w:trPr>
        <w:tc>
          <w:tcPr>
            <w:tcW w:w="906"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EE11</w:t>
            </w:r>
          </w:p>
        </w:tc>
        <w:tc>
          <w:tcPr>
            <w:tcW w:w="1263" w:type="pct"/>
            <w:shd w:val="pct25" w:color="auto" w:fill="auto"/>
            <w:noWrap/>
            <w:vAlign w:val="center"/>
          </w:tcPr>
          <w:p w:rsidR="00160684" w:rsidRDefault="00160684">
            <w:pP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160684" w:rsidRDefault="00160684">
            <w:pPr>
              <w:rPr>
                <w:rFonts w:ascii="Calibri" w:hAnsi="Calibri" w:cs="Calibri"/>
                <w:color w:val="000000"/>
                <w:sz w:val="22"/>
                <w:szCs w:val="22"/>
              </w:rPr>
            </w:pPr>
            <w:r>
              <w:rPr>
                <w:rFonts w:ascii="Calibri" w:hAnsi="Calibri" w:cs="Calibri"/>
                <w:color w:val="000000"/>
                <w:sz w:val="22"/>
                <w:szCs w:val="22"/>
              </w:rPr>
              <w:t>Full-Size</w:t>
            </w:r>
          </w:p>
        </w:tc>
        <w:tc>
          <w:tcPr>
            <w:tcW w:w="1025"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$9,700 </w:t>
            </w:r>
          </w:p>
        </w:tc>
        <w:tc>
          <w:tcPr>
            <w:tcW w:w="781" w:type="pct"/>
            <w:shd w:val="pct25" w:color="auto" w:fill="auto"/>
            <w:noWrap/>
            <w:vAlign w:val="center"/>
          </w:tcPr>
          <w:p w:rsidR="00160684" w:rsidRDefault="00160684">
            <w:pPr>
              <w:jc w:val="right"/>
              <w:rPr>
                <w:rFonts w:ascii="Calibri" w:hAnsi="Calibri" w:cs="Calibri"/>
                <w:color w:val="000000"/>
                <w:sz w:val="22"/>
                <w:szCs w:val="22"/>
              </w:rPr>
            </w:pPr>
            <w:r>
              <w:rPr>
                <w:rFonts w:ascii="Calibri" w:hAnsi="Calibri" w:cs="Calibri"/>
                <w:color w:val="000000"/>
                <w:sz w:val="22"/>
                <w:szCs w:val="22"/>
              </w:rPr>
              <w:t xml:space="preserve">$4,850 </w:t>
            </w:r>
          </w:p>
        </w:tc>
      </w:tr>
    </w:tbl>
    <w:p w:rsidR="0011755F" w:rsidRDefault="0011755F" w:rsidP="0011755F">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Pr>
          <w:rFonts w:ascii="Arial" w:hAnsi="Arial" w:cs="Arial"/>
          <w:sz w:val="20"/>
          <w:szCs w:val="20"/>
        </w:rPr>
        <w:t>list prices from AutoQuotes catalog in 201</w:t>
      </w:r>
      <w:r w:rsidR="003B67F8">
        <w:rPr>
          <w:rFonts w:ascii="Arial" w:hAnsi="Arial" w:cs="Arial"/>
          <w:sz w:val="20"/>
          <w:szCs w:val="20"/>
        </w:rPr>
        <w:t>2</w:t>
      </w:r>
    </w:p>
    <w:p w:rsidR="00F578B9" w:rsidRDefault="00F578B9" w:rsidP="00F578B9">
      <w:pPr>
        <w:rPr>
          <w:rFonts w:ascii="Arial" w:hAnsi="Arial" w:cs="Arial"/>
          <w:b/>
        </w:rPr>
      </w:pPr>
    </w:p>
    <w:p w:rsidR="0011755F" w:rsidRDefault="0011755F" w:rsidP="0011755F">
      <w:pPr>
        <w:rPr>
          <w:rFonts w:ascii="Arial" w:hAnsi="Arial" w:cs="Arial"/>
          <w:sz w:val="20"/>
          <w:szCs w:val="20"/>
        </w:rPr>
      </w:pPr>
    </w:p>
    <w:p w:rsidR="00AC3C6E" w:rsidRDefault="00AC3C6E" w:rsidP="005C537F">
      <w:pPr>
        <w:pStyle w:val="Heading1"/>
        <w:rPr>
          <w:lang w:val="en-US"/>
        </w:rPr>
      </w:pPr>
    </w:p>
    <w:p w:rsidR="00AC3C6E" w:rsidRDefault="00AC3C6E" w:rsidP="005C537F">
      <w:pPr>
        <w:pStyle w:val="Heading1"/>
        <w:rPr>
          <w:lang w:val="en-US"/>
        </w:rPr>
      </w:pPr>
    </w:p>
    <w:p w:rsidR="00AC3C6E" w:rsidRDefault="00AC3C6E" w:rsidP="005C537F">
      <w:pPr>
        <w:pStyle w:val="Heading1"/>
        <w:rPr>
          <w:lang w:val="en-US"/>
        </w:rPr>
      </w:pPr>
    </w:p>
    <w:p w:rsidR="00AC3C6E" w:rsidRDefault="00AC3C6E" w:rsidP="005C537F">
      <w:pPr>
        <w:pStyle w:val="Heading1"/>
        <w:rPr>
          <w:rFonts w:ascii="Times New Roman" w:hAnsi="Times New Roman"/>
          <w:b w:val="0"/>
          <w:bCs w:val="0"/>
          <w:kern w:val="0"/>
          <w:sz w:val="24"/>
          <w:szCs w:val="24"/>
          <w:lang w:val="en-US"/>
        </w:rPr>
      </w:pPr>
    </w:p>
    <w:p w:rsidR="00AC3C6E" w:rsidRPr="00AC3C6E" w:rsidRDefault="00AC3C6E" w:rsidP="00AC3C6E">
      <w:pPr>
        <w:rPr>
          <w:lang w:eastAsia="x-none"/>
        </w:rPr>
      </w:pPr>
    </w:p>
    <w:p w:rsidR="00FA77B7" w:rsidRPr="00F578B9" w:rsidRDefault="00F578B9" w:rsidP="001B0B0D">
      <w:pPr>
        <w:spacing w:line="276" w:lineRule="auto"/>
      </w:pPr>
      <w:r>
        <w:br w:type="page"/>
      </w:r>
      <w:r w:rsidRPr="00F578B9">
        <w:lastRenderedPageBreak/>
        <w:t>References</w:t>
      </w:r>
    </w:p>
    <w:sectPr w:rsidR="00FA77B7" w:rsidRPr="00F578B9" w:rsidSect="000216BC">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6C0" w:rsidRDefault="004676C0" w:rsidP="00F578B9">
      <w:r>
        <w:separator/>
      </w:r>
    </w:p>
  </w:endnote>
  <w:endnote w:type="continuationSeparator" w:id="0">
    <w:p w:rsidR="004676C0" w:rsidRDefault="004676C0" w:rsidP="00F578B9">
      <w:r>
        <w:continuationSeparator/>
      </w:r>
    </w:p>
  </w:endnote>
  <w:endnote w:id="1">
    <w:p w:rsidR="005B57BE" w:rsidRDefault="005B57BE" w:rsidP="00B767E2">
      <w:pPr>
        <w:pStyle w:val="EndnoteText"/>
        <w:ind w:left="360"/>
        <w:rPr>
          <w:sz w:val="22"/>
          <w:szCs w:val="22"/>
          <w:lang w:val="en-US"/>
        </w:rPr>
      </w:pPr>
      <w:r w:rsidRPr="00B767E2">
        <w:rPr>
          <w:rStyle w:val="EndnoteReference"/>
          <w:sz w:val="22"/>
          <w:szCs w:val="22"/>
        </w:rPr>
        <w:endnoteRef/>
      </w:r>
      <w:r w:rsidRPr="00B767E2">
        <w:rPr>
          <w:sz w:val="22"/>
          <w:szCs w:val="22"/>
        </w:rPr>
        <w:t xml:space="preserve"> American Society for Testing and Materials. </w:t>
      </w:r>
      <w:r w:rsidRPr="00B767E2">
        <w:rPr>
          <w:i/>
          <w:iCs/>
          <w:sz w:val="22"/>
          <w:szCs w:val="22"/>
        </w:rPr>
        <w:t>Standard Test Method for the Performance of Convection Ovens</w:t>
      </w:r>
      <w:r w:rsidRPr="00B767E2">
        <w:rPr>
          <w:sz w:val="22"/>
          <w:szCs w:val="22"/>
        </w:rPr>
        <w:t>. ASTM Designation F1496, in Annual Book of ASTM Standards, West Conshohocken, PA.</w:t>
      </w:r>
    </w:p>
    <w:p w:rsidR="005B57BE" w:rsidRPr="00B767E2" w:rsidRDefault="005B57BE" w:rsidP="00B767E2">
      <w:pPr>
        <w:pStyle w:val="EndnoteText"/>
        <w:ind w:left="360"/>
        <w:rPr>
          <w:sz w:val="22"/>
          <w:szCs w:val="22"/>
          <w:lang w:val="en-US"/>
        </w:rPr>
      </w:pPr>
    </w:p>
  </w:endnote>
  <w:endnote w:id="2">
    <w:p w:rsidR="005B57BE" w:rsidRDefault="005B57BE" w:rsidP="00B767E2">
      <w:pPr>
        <w:pStyle w:val="EndnoteText"/>
        <w:ind w:left="360"/>
        <w:rPr>
          <w:sz w:val="22"/>
          <w:szCs w:val="22"/>
          <w:lang w:val="en-US"/>
        </w:rPr>
      </w:pPr>
      <w:r w:rsidRPr="00B767E2">
        <w:rPr>
          <w:rStyle w:val="EndnoteReference"/>
          <w:sz w:val="22"/>
          <w:szCs w:val="22"/>
        </w:rPr>
        <w:endnoteRef/>
      </w:r>
      <w:r w:rsidRPr="00B767E2">
        <w:rPr>
          <w:sz w:val="22"/>
          <w:szCs w:val="22"/>
        </w:rPr>
        <w:t xml:space="preserve"> 2009 Energy Star® Program Requirements for Commercial Ovens. </w:t>
      </w:r>
      <w:hyperlink r:id="rId1" w:history="1">
        <w:r w:rsidRPr="00FD3F1A">
          <w:rPr>
            <w:rStyle w:val="Hyperlink"/>
            <w:sz w:val="22"/>
            <w:szCs w:val="22"/>
          </w:rPr>
          <w:t>http://www.energystar.gov/ia/partners/product_specs/program_reqs/Commercial_Ovens_Program_Requirements.pdf</w:t>
        </w:r>
      </w:hyperlink>
    </w:p>
    <w:p w:rsidR="005B57BE" w:rsidRPr="00B767E2" w:rsidRDefault="005B57BE" w:rsidP="00B767E2">
      <w:pPr>
        <w:pStyle w:val="EndnoteText"/>
        <w:ind w:left="360"/>
        <w:rPr>
          <w:sz w:val="22"/>
          <w:szCs w:val="22"/>
          <w:lang w:val="en-US"/>
        </w:rPr>
      </w:pPr>
    </w:p>
  </w:endnote>
  <w:endnote w:id="3">
    <w:p w:rsidR="005B57BE" w:rsidRPr="00B767E2" w:rsidRDefault="005B57BE" w:rsidP="004B45FA">
      <w:pPr>
        <w:keepNext/>
        <w:ind w:left="360"/>
        <w:rPr>
          <w:sz w:val="22"/>
          <w:szCs w:val="22"/>
        </w:rPr>
      </w:pPr>
      <w:r w:rsidRPr="00B767E2">
        <w:rPr>
          <w:rStyle w:val="EndnoteReference"/>
          <w:sz w:val="22"/>
          <w:szCs w:val="22"/>
        </w:rPr>
        <w:endnoteRef/>
      </w:r>
      <w:r w:rsidRPr="00B767E2">
        <w:rPr>
          <w:sz w:val="22"/>
          <w:szCs w:val="22"/>
          <w:lang w:val="de-DE"/>
        </w:rPr>
        <w:t xml:space="preserve"> Fisher-Nickel, Inc., D. Fisher, et al., 2002. </w:t>
      </w:r>
      <w:r w:rsidRPr="00B767E2">
        <w:rPr>
          <w:sz w:val="22"/>
          <w:szCs w:val="22"/>
        </w:rPr>
        <w:t>Commercial Cooking Appliance Technology Assessment. Food Service Technology Center Report 5011.02.26, pp. 3-1 to 3-27.</w:t>
      </w:r>
    </w:p>
    <w:p w:rsidR="005B57BE" w:rsidRDefault="00D1774C" w:rsidP="00B767E2">
      <w:pPr>
        <w:keepNext/>
        <w:ind w:left="360"/>
        <w:rPr>
          <w:sz w:val="22"/>
          <w:szCs w:val="22"/>
        </w:rPr>
      </w:pPr>
      <w:hyperlink r:id="rId2" w:history="1">
        <w:r w:rsidR="005B57BE" w:rsidRPr="00FD3F1A">
          <w:rPr>
            <w:rStyle w:val="Hyperlink"/>
            <w:sz w:val="22"/>
            <w:szCs w:val="22"/>
          </w:rPr>
          <w:t>http://www.energy.ca.gov/reports/2003-04-10_500-03-007F.PDF</w:t>
        </w:r>
      </w:hyperlink>
    </w:p>
    <w:p w:rsidR="005B57BE" w:rsidRPr="00B767E2" w:rsidRDefault="005B57BE" w:rsidP="00B767E2">
      <w:pPr>
        <w:keepNext/>
        <w:ind w:left="360"/>
        <w:rPr>
          <w:sz w:val="22"/>
          <w:szCs w:val="22"/>
        </w:rPr>
      </w:pPr>
    </w:p>
  </w:endnote>
  <w:endnote w:id="4">
    <w:p w:rsidR="005B57BE" w:rsidRDefault="005B57BE" w:rsidP="00B767E2">
      <w:pPr>
        <w:pStyle w:val="EndnoteText"/>
        <w:ind w:left="360"/>
        <w:rPr>
          <w:color w:val="333333"/>
          <w:sz w:val="22"/>
          <w:szCs w:val="22"/>
          <w:lang w:val="en-GB"/>
        </w:rPr>
      </w:pPr>
      <w:r w:rsidRPr="00B767E2">
        <w:rPr>
          <w:rStyle w:val="EndnoteReference"/>
          <w:sz w:val="22"/>
          <w:szCs w:val="22"/>
        </w:rPr>
        <w:endnoteRef/>
      </w:r>
      <w:r w:rsidRPr="00B767E2">
        <w:rPr>
          <w:sz w:val="22"/>
          <w:szCs w:val="22"/>
        </w:rPr>
        <w:t xml:space="preserve"> </w:t>
      </w:r>
      <w:r w:rsidRPr="00721BFC">
        <w:rPr>
          <w:sz w:val="22"/>
          <w:szCs w:val="22"/>
        </w:rPr>
        <w:t>DEER201</w:t>
      </w:r>
      <w:r w:rsidRPr="00721BFC">
        <w:rPr>
          <w:sz w:val="22"/>
          <w:szCs w:val="22"/>
          <w:lang w:val="en-US"/>
        </w:rPr>
        <w:t>6</w:t>
      </w:r>
      <w:r w:rsidRPr="00721BFC">
        <w:rPr>
          <w:sz w:val="22"/>
          <w:szCs w:val="22"/>
        </w:rPr>
        <w:t>_NTGR_</w:t>
      </w:r>
      <w:r w:rsidRPr="00721BFC">
        <w:rPr>
          <w:sz w:val="22"/>
          <w:szCs w:val="22"/>
          <w:lang w:val="en-US"/>
        </w:rPr>
        <w:t>update workbook 10-20-2015</w:t>
      </w:r>
      <w:r w:rsidRPr="00721BFC">
        <w:rPr>
          <w:sz w:val="22"/>
          <w:szCs w:val="22"/>
        </w:rPr>
        <w:t>.xls</w:t>
      </w:r>
      <w:r w:rsidRPr="00B767E2">
        <w:rPr>
          <w:sz w:val="22"/>
          <w:szCs w:val="22"/>
        </w:rPr>
        <w:t xml:space="preserve"> from  </w:t>
      </w:r>
      <w:r w:rsidRPr="00B767E2">
        <w:rPr>
          <w:bCs/>
          <w:color w:val="333333"/>
          <w:kern w:val="36"/>
          <w:sz w:val="22"/>
          <w:szCs w:val="22"/>
          <w:lang w:val="en-GB"/>
        </w:rPr>
        <w:t>DEER Database for Energy-Efficient Resources</w:t>
      </w:r>
      <w:r>
        <w:rPr>
          <w:color w:val="333333"/>
          <w:sz w:val="22"/>
          <w:szCs w:val="22"/>
          <w:lang w:val="en-GB"/>
        </w:rPr>
        <w:t xml:space="preserve">; </w:t>
      </w:r>
      <w:hyperlink r:id="rId3" w:history="1">
        <w:r w:rsidRPr="00FC415F">
          <w:rPr>
            <w:rStyle w:val="Hyperlink"/>
            <w:sz w:val="22"/>
            <w:szCs w:val="22"/>
            <w:lang w:val="en-GB"/>
          </w:rPr>
          <w:t>http://www.deeresources.com/index.php/deer-versions/deer2016</w:t>
        </w:r>
      </w:hyperlink>
    </w:p>
    <w:p w:rsidR="005B57BE" w:rsidRPr="009651C3" w:rsidRDefault="005B57BE" w:rsidP="00B767E2">
      <w:pPr>
        <w:pStyle w:val="EndnoteText"/>
        <w:ind w:left="360" w:hanging="180"/>
        <w:rPr>
          <w:sz w:val="22"/>
          <w:szCs w:val="22"/>
          <w:lang w:val="en-US"/>
        </w:rPr>
      </w:pPr>
    </w:p>
  </w:endnote>
  <w:endnote w:id="5">
    <w:p w:rsidR="005B57BE" w:rsidRDefault="005B57BE" w:rsidP="00B767E2">
      <w:pPr>
        <w:ind w:left="360"/>
        <w:rPr>
          <w:sz w:val="22"/>
          <w:szCs w:val="22"/>
        </w:rPr>
      </w:pPr>
      <w:r w:rsidRPr="00B767E2">
        <w:rPr>
          <w:rStyle w:val="EndnoteReference"/>
          <w:sz w:val="22"/>
          <w:szCs w:val="22"/>
        </w:rPr>
        <w:endnoteRef/>
      </w:r>
      <w:r w:rsidRPr="00B767E2">
        <w:rPr>
          <w:sz w:val="22"/>
          <w:szCs w:val="22"/>
        </w:rPr>
        <w:t xml:space="preserve"> </w:t>
      </w:r>
      <w:r>
        <w:rPr>
          <w:sz w:val="22"/>
          <w:szCs w:val="22"/>
        </w:rPr>
        <w:t xml:space="preserve">DEER2016, </w:t>
      </w:r>
      <w:r w:rsidRPr="00721BFC">
        <w:rPr>
          <w:sz w:val="22"/>
          <w:szCs w:val="22"/>
        </w:rPr>
        <w:t>EUL values from READI tool</w:t>
      </w:r>
      <w:r>
        <w:rPr>
          <w:sz w:val="22"/>
          <w:szCs w:val="22"/>
        </w:rPr>
        <w:t xml:space="preserve">; </w:t>
      </w:r>
      <w:hyperlink r:id="rId4" w:history="1">
        <w:r w:rsidRPr="00FC415F">
          <w:rPr>
            <w:rStyle w:val="Hyperlink"/>
            <w:sz w:val="22"/>
            <w:szCs w:val="22"/>
          </w:rPr>
          <w:t>http://www.deeresources.com/index.php/deer-versions/readi</w:t>
        </w:r>
      </w:hyperlink>
    </w:p>
    <w:p w:rsidR="005B57BE" w:rsidRPr="00B767E2" w:rsidRDefault="005B57BE" w:rsidP="00B767E2">
      <w:pPr>
        <w:ind w:left="360" w:hanging="180"/>
        <w:rPr>
          <w:color w:val="333333"/>
          <w:sz w:val="22"/>
          <w:szCs w:val="22"/>
          <w:lang w:val="en-GB"/>
        </w:rPr>
      </w:pPr>
    </w:p>
  </w:endnote>
  <w:endnote w:id="6">
    <w:p w:rsidR="005B57BE" w:rsidRPr="00B767E2" w:rsidRDefault="005B57BE" w:rsidP="004B45FA">
      <w:pPr>
        <w:keepNext/>
        <w:ind w:left="360"/>
        <w:rPr>
          <w:sz w:val="22"/>
          <w:szCs w:val="22"/>
        </w:rPr>
      </w:pPr>
      <w:r w:rsidRPr="00B767E2">
        <w:rPr>
          <w:rStyle w:val="EndnoteReference"/>
          <w:sz w:val="22"/>
          <w:szCs w:val="22"/>
        </w:rPr>
        <w:endnoteRef/>
      </w:r>
      <w:r w:rsidRPr="00B767E2">
        <w:rPr>
          <w:sz w:val="22"/>
          <w:szCs w:val="22"/>
        </w:rPr>
        <w:t xml:space="preserve"> 2005 California Energy Commission (CEC) Title 20 Appliance Efficiency Regulations, CEC 400-2005-012, p. 69. </w:t>
      </w:r>
    </w:p>
    <w:p w:rsidR="005B57BE" w:rsidRPr="00B767E2" w:rsidRDefault="005B57BE" w:rsidP="004B45FA">
      <w:pPr>
        <w:pStyle w:val="EndnoteText"/>
        <w:rPr>
          <w:sz w:val="22"/>
          <w:szCs w:val="22"/>
        </w:rPr>
      </w:pPr>
    </w:p>
  </w:endnote>
  <w:endnote w:id="7">
    <w:p w:rsidR="005B57BE" w:rsidRDefault="005B57BE" w:rsidP="00061E70">
      <w:pPr>
        <w:keepNext/>
        <w:ind w:left="360"/>
        <w:rPr>
          <w:sz w:val="22"/>
          <w:szCs w:val="22"/>
        </w:rPr>
      </w:pPr>
      <w:r w:rsidRPr="00B767E2">
        <w:rPr>
          <w:rStyle w:val="EndnoteReference"/>
          <w:sz w:val="22"/>
          <w:szCs w:val="22"/>
        </w:rPr>
        <w:endnoteRef/>
      </w:r>
      <w:r w:rsidRPr="00B767E2">
        <w:rPr>
          <w:sz w:val="22"/>
          <w:szCs w:val="22"/>
        </w:rPr>
        <w:t xml:space="preserve"> </w:t>
      </w:r>
      <w:r w:rsidRPr="00B767E2">
        <w:rPr>
          <w:sz w:val="22"/>
          <w:szCs w:val="22"/>
          <w:lang w:val="de-DE"/>
        </w:rPr>
        <w:t xml:space="preserve">Fisher-Nickel, Inc., D. Fisher, et al., 2002. </w:t>
      </w:r>
      <w:r w:rsidRPr="00B767E2">
        <w:rPr>
          <w:sz w:val="22"/>
          <w:szCs w:val="22"/>
        </w:rPr>
        <w:t>Commercial Cooking Appliance Technology Assessment. Food Service Technology Center Report 5011.02.26, pp. 3-1 to 3-27.</w:t>
      </w:r>
    </w:p>
    <w:p w:rsidR="006A69F2" w:rsidRDefault="00D1774C" w:rsidP="00061E70">
      <w:pPr>
        <w:keepNext/>
        <w:ind w:left="360"/>
        <w:rPr>
          <w:color w:val="1F497D"/>
        </w:rPr>
      </w:pPr>
      <w:hyperlink r:id="rId5" w:history="1">
        <w:r w:rsidR="006A69F2">
          <w:rPr>
            <w:rStyle w:val="Hyperlink"/>
          </w:rPr>
          <w:t>http://www.fishnick.com/equipment/techassessment/Appliance_Tech_Assessment.pdf</w:t>
        </w:r>
      </w:hyperlink>
    </w:p>
    <w:p w:rsidR="005B57BE" w:rsidRPr="00B767E2" w:rsidRDefault="005B57BE" w:rsidP="00061E70">
      <w:pPr>
        <w:pStyle w:val="EndnoteText"/>
        <w:rPr>
          <w:sz w:val="22"/>
          <w:szCs w:val="22"/>
        </w:rPr>
      </w:pPr>
    </w:p>
  </w:endnote>
  <w:endnote w:id="8">
    <w:p w:rsidR="005B57BE" w:rsidRPr="00B767E2" w:rsidRDefault="005B57BE" w:rsidP="00061E70">
      <w:pPr>
        <w:keepNext/>
        <w:ind w:left="360"/>
        <w:rPr>
          <w:sz w:val="22"/>
          <w:szCs w:val="22"/>
        </w:rPr>
      </w:pPr>
      <w:r w:rsidRPr="00B767E2">
        <w:rPr>
          <w:rStyle w:val="EndnoteReference"/>
          <w:sz w:val="22"/>
          <w:szCs w:val="22"/>
        </w:rPr>
        <w:endnoteRef/>
      </w:r>
      <w:r w:rsidRPr="00B767E2">
        <w:rPr>
          <w:sz w:val="22"/>
          <w:szCs w:val="22"/>
        </w:rPr>
        <w:t xml:space="preserve"> PG&amp;E, J. Blessent, 1994. Development and Application of a Uniform Testing Procedure for Convection Ovens. Pacific Gas and Electric Company Department of Research and Development Report 008.1-94-12, Table 3-2, pp. 3-2 to 3-3.</w:t>
      </w:r>
    </w:p>
    <w:p w:rsidR="005B57BE" w:rsidRPr="00B767E2" w:rsidRDefault="005B57BE" w:rsidP="00061E70">
      <w:pPr>
        <w:pStyle w:val="EndnoteText"/>
        <w:ind w:left="360"/>
        <w:rPr>
          <w:sz w:val="22"/>
          <w:szCs w:val="22"/>
        </w:rPr>
      </w:pPr>
    </w:p>
  </w:endnote>
  <w:endnote w:id="9">
    <w:p w:rsidR="005B57BE" w:rsidRPr="00B767E2" w:rsidRDefault="005B57BE" w:rsidP="00B767E2">
      <w:pPr>
        <w:pStyle w:val="EndnoteText"/>
        <w:ind w:left="180" w:firstLine="180"/>
        <w:rPr>
          <w:sz w:val="22"/>
          <w:szCs w:val="22"/>
        </w:rPr>
      </w:pPr>
      <w:r w:rsidRPr="00B767E2">
        <w:rPr>
          <w:rStyle w:val="EndnoteReference"/>
          <w:sz w:val="22"/>
          <w:szCs w:val="22"/>
        </w:rPr>
        <w:endnoteRef/>
      </w:r>
      <w:r w:rsidRPr="00B767E2">
        <w:rPr>
          <w:sz w:val="22"/>
          <w:szCs w:val="22"/>
        </w:rPr>
        <w:t xml:space="preserve"> AutoQuotes electronic catalog for foodservice equipment and supplies </w:t>
      </w:r>
      <w:hyperlink r:id="rId6" w:history="1">
        <w:r w:rsidRPr="00B767E2">
          <w:rPr>
            <w:rStyle w:val="Hyperlink"/>
            <w:sz w:val="22"/>
            <w:szCs w:val="22"/>
          </w:rPr>
          <w:t>http://www.aqnet.com/</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ADD" w:rsidRDefault="00D1774C" w:rsidP="00536ADD">
    <w:pPr>
      <w:pStyle w:val="Footer"/>
      <w:jc w:val="center"/>
      <w:rPr>
        <w:rFonts w:cstheme="minorHAnsi"/>
        <w:b/>
        <w:sz w:val="36"/>
        <w:szCs w:val="36"/>
      </w:rPr>
    </w:pPr>
    <w:sdt>
      <w:sdtPr>
        <w:rPr>
          <w:rFonts w:cstheme="minorHAnsi"/>
          <w:b/>
          <w:sz w:val="36"/>
          <w:szCs w:val="36"/>
        </w:rPr>
        <w:alias w:val="Date"/>
        <w:tag w:val=""/>
        <w:id w:val="1713153029"/>
        <w:showingPlcHdr/>
        <w:dataBinding w:prefixMappings="xmlns:ns0='http://schemas.microsoft.com/office/2006/coverPageProps' " w:xpath="/ns0:CoverPageProperties[1]/ns0:PublishDate[1]" w:storeItemID="{55AF091B-3C7A-41E3-B477-F2FDAA23CFDA}"/>
        <w:date w:fullDate="2016-01-20T00:00:00Z">
          <w:dateFormat w:val="MMMM d, yyyy"/>
          <w:lid w:val="en-US"/>
          <w:storeMappedDataAs w:val="dateTime"/>
          <w:calendar w:val="gregorian"/>
        </w:date>
      </w:sdtPr>
      <w:sdtEndPr/>
      <w:sdtContent>
        <w:r w:rsidR="00973BE3">
          <w:rPr>
            <w:rFonts w:cstheme="minorHAnsi"/>
            <w:b/>
            <w:sz w:val="36"/>
            <w:szCs w:val="36"/>
          </w:rPr>
          <w:t xml:space="preserve">     </w:t>
        </w:r>
      </w:sdtContent>
    </w:sdt>
  </w:p>
  <w:p w:rsidR="00536ADD" w:rsidRPr="0006318C" w:rsidRDefault="00536ADD" w:rsidP="00536ADD">
    <w:pPr>
      <w:pStyle w:val="Footer"/>
      <w:jc w:val="right"/>
      <w:rPr>
        <w:rFonts w:ascii="Arial" w:hAnsi="Arial" w:cs="Arial"/>
        <w:b/>
        <w:sz w:val="36"/>
        <w:szCs w:val="36"/>
        <w:lang w:val="en-US"/>
      </w:rPr>
    </w:pPr>
    <w:r>
      <w:rPr>
        <w:rFonts w:ascii="Arial" w:hAnsi="Arial" w:cs="Arial"/>
        <w:b/>
        <w:sz w:val="36"/>
        <w:szCs w:val="36"/>
        <w:lang w:val="en-US"/>
      </w:rPr>
      <w:t>October 17</w:t>
    </w:r>
    <w:r>
      <w:rPr>
        <w:rFonts w:ascii="Arial" w:hAnsi="Arial" w:cs="Arial"/>
        <w:b/>
        <w:sz w:val="36"/>
        <w:szCs w:val="36"/>
      </w:rPr>
      <w:t>, 201</w:t>
    </w:r>
    <w:r>
      <w:rPr>
        <w:rFonts w:ascii="Arial" w:hAnsi="Arial" w:cs="Arial"/>
        <w:b/>
        <w:sz w:val="36"/>
        <w:szCs w:val="36"/>
        <w:lang w:val="en-US"/>
      </w:rPr>
      <w:t>6</w:t>
    </w:r>
  </w:p>
  <w:p w:rsidR="00536ADD" w:rsidRPr="009500DC" w:rsidRDefault="00536ADD"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7BE" w:rsidRDefault="005B57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B57BE" w:rsidRDefault="005B57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7BE" w:rsidRDefault="005B57BE">
    <w:pPr>
      <w:pStyle w:val="Footer"/>
      <w:framePr w:wrap="around" w:vAnchor="text" w:hAnchor="margin" w:xAlign="center" w:y="1"/>
      <w:rPr>
        <w:rStyle w:val="PageNumber"/>
        <w:b/>
        <w:szCs w:val="20"/>
      </w:rPr>
    </w:pPr>
    <w:r>
      <w:rPr>
        <w:rStyle w:val="PageNumber"/>
        <w:b/>
        <w:szCs w:val="20"/>
      </w:rPr>
      <w:fldChar w:fldCharType="begin"/>
    </w:r>
    <w:r>
      <w:rPr>
        <w:rStyle w:val="PageNumber"/>
        <w:b/>
        <w:szCs w:val="20"/>
      </w:rPr>
      <w:instrText xml:space="preserve">PAGE  </w:instrText>
    </w:r>
    <w:r>
      <w:rPr>
        <w:rStyle w:val="PageNumber"/>
        <w:b/>
        <w:szCs w:val="20"/>
      </w:rPr>
      <w:fldChar w:fldCharType="separate"/>
    </w:r>
    <w:r w:rsidR="00D1774C">
      <w:rPr>
        <w:rStyle w:val="PageNumber"/>
        <w:b/>
        <w:noProof/>
        <w:szCs w:val="20"/>
      </w:rPr>
      <w:t>20</w:t>
    </w:r>
    <w:r>
      <w:rPr>
        <w:rStyle w:val="PageNumber"/>
        <w:b/>
        <w:szCs w:val="20"/>
      </w:rPr>
      <w:fldChar w:fldCharType="end"/>
    </w:r>
  </w:p>
  <w:p w:rsidR="005B57BE" w:rsidRPr="00EF1DF1" w:rsidRDefault="005B57BE">
    <w:pPr>
      <w:pStyle w:val="Footer"/>
      <w:pBdr>
        <w:top w:val="single" w:sz="4" w:space="1" w:color="auto"/>
      </w:pBdr>
      <w:tabs>
        <w:tab w:val="clear" w:pos="8640"/>
        <w:tab w:val="right" w:pos="9360"/>
      </w:tabs>
      <w:rPr>
        <w:b/>
        <w:sz w:val="20"/>
        <w:szCs w:val="20"/>
        <w:lang w:val="en-US"/>
      </w:rPr>
    </w:pPr>
    <w:r w:rsidRPr="00663957">
      <w:rPr>
        <w:b/>
        <w:sz w:val="20"/>
        <w:szCs w:val="20"/>
      </w:rPr>
      <w:t>Work Paper PGEFST10</w:t>
    </w:r>
    <w:r>
      <w:rPr>
        <w:b/>
        <w:sz w:val="20"/>
        <w:szCs w:val="20"/>
        <w:lang w:val="en-US"/>
      </w:rPr>
      <w:t>1</w:t>
    </w:r>
    <w:r w:rsidRPr="00663957">
      <w:rPr>
        <w:b/>
        <w:sz w:val="20"/>
        <w:szCs w:val="20"/>
      </w:rPr>
      <w:t xml:space="preserve">, Revision </w:t>
    </w:r>
    <w:r>
      <w:rPr>
        <w:b/>
        <w:sz w:val="20"/>
        <w:szCs w:val="20"/>
        <w:lang w:val="en-US"/>
      </w:rPr>
      <w:t>6</w:t>
    </w:r>
    <w:r>
      <w:rPr>
        <w:b/>
        <w:sz w:val="20"/>
        <w:szCs w:val="20"/>
      </w:rPr>
      <w:tab/>
    </w:r>
    <w:r>
      <w:rPr>
        <w:b/>
        <w:sz w:val="20"/>
        <w:szCs w:val="20"/>
      </w:rPr>
      <w:tab/>
    </w:r>
    <w:r w:rsidR="00994CEE">
      <w:rPr>
        <w:b/>
        <w:sz w:val="20"/>
        <w:szCs w:val="20"/>
        <w:lang w:val="en-US"/>
      </w:rPr>
      <w:t>August</w:t>
    </w:r>
    <w:r>
      <w:rPr>
        <w:b/>
        <w:sz w:val="20"/>
        <w:szCs w:val="20"/>
      </w:rPr>
      <w:t>, 201</w:t>
    </w:r>
    <w:r>
      <w:rPr>
        <w:b/>
        <w:sz w:val="20"/>
        <w:szCs w:val="20"/>
        <w:lang w:val="en-US"/>
      </w:rPr>
      <w:t>6</w:t>
    </w:r>
  </w:p>
  <w:p w:rsidR="005B57BE" w:rsidRDefault="005B57BE" w:rsidP="00441960">
    <w:pPr>
      <w:pStyle w:val="Footer"/>
      <w:rPr>
        <w:b/>
        <w:sz w:val="20"/>
        <w:szCs w:val="20"/>
      </w:rPr>
    </w:pPr>
    <w:r>
      <w:rPr>
        <w:b/>
        <w:sz w:val="20"/>
        <w:szCs w:val="20"/>
      </w:rPr>
      <w:t xml:space="preserve">Pacific Gas &amp; Electric Company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7BE" w:rsidRPr="0006318C" w:rsidRDefault="00994CEE">
    <w:pPr>
      <w:pStyle w:val="Footer"/>
      <w:jc w:val="right"/>
      <w:rPr>
        <w:rFonts w:ascii="Arial" w:hAnsi="Arial" w:cs="Arial"/>
        <w:b/>
        <w:sz w:val="36"/>
        <w:szCs w:val="36"/>
        <w:lang w:val="en-US"/>
      </w:rPr>
    </w:pPr>
    <w:r>
      <w:rPr>
        <w:rFonts w:ascii="Arial" w:hAnsi="Arial" w:cs="Arial"/>
        <w:b/>
        <w:sz w:val="36"/>
        <w:szCs w:val="36"/>
        <w:lang w:val="en-US"/>
      </w:rPr>
      <w:t>August</w:t>
    </w:r>
    <w:r w:rsidR="005B57BE">
      <w:rPr>
        <w:rFonts w:ascii="Arial" w:hAnsi="Arial" w:cs="Arial"/>
        <w:b/>
        <w:sz w:val="36"/>
        <w:szCs w:val="36"/>
      </w:rPr>
      <w:t>, 201</w:t>
    </w:r>
    <w:r w:rsidR="005B57BE">
      <w:rPr>
        <w:rFonts w:ascii="Arial" w:hAnsi="Arial" w:cs="Arial"/>
        <w:b/>
        <w:sz w:val="36"/>
        <w:szCs w:val="36"/>
        <w:lang w:val="en-US"/>
      </w:rPr>
      <w:t>6</w:t>
    </w:r>
  </w:p>
  <w:p w:rsidR="005B57BE" w:rsidRDefault="005B57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6C0" w:rsidRDefault="004676C0" w:rsidP="00F578B9">
      <w:r>
        <w:separator/>
      </w:r>
    </w:p>
  </w:footnote>
  <w:footnote w:type="continuationSeparator" w:id="0">
    <w:p w:rsidR="004676C0" w:rsidRDefault="004676C0" w:rsidP="00F57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31124879"/>
    <w:multiLevelType w:val="hybridMultilevel"/>
    <w:tmpl w:val="304E6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053D28"/>
    <w:multiLevelType w:val="hybridMultilevel"/>
    <w:tmpl w:val="FCCA7A5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77820856"/>
    <w:multiLevelType w:val="singleLevel"/>
    <w:tmpl w:val="6C78A414"/>
    <w:lvl w:ilvl="0">
      <w:start w:val="1"/>
      <w:numFmt w:val="decimal"/>
      <w:lvlText w:val="%1."/>
      <w:legacy w:legacy="1" w:legacySpace="0" w:legacyIndent="0"/>
      <w:lvlJc w:val="left"/>
    </w:lvl>
  </w:abstractNum>
  <w:num w:numId="1">
    <w:abstractNumId w:val="0"/>
  </w:num>
  <w:num w:numId="2">
    <w:abstractNumId w:val="5"/>
  </w:num>
  <w:num w:numId="3">
    <w:abstractNumId w:val="1"/>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8B9"/>
    <w:rsid w:val="00000BFE"/>
    <w:rsid w:val="00006CA1"/>
    <w:rsid w:val="000107C7"/>
    <w:rsid w:val="000216BC"/>
    <w:rsid w:val="00022040"/>
    <w:rsid w:val="000301ED"/>
    <w:rsid w:val="000415C0"/>
    <w:rsid w:val="00042F88"/>
    <w:rsid w:val="00050650"/>
    <w:rsid w:val="00054630"/>
    <w:rsid w:val="00061E70"/>
    <w:rsid w:val="0006318C"/>
    <w:rsid w:val="00064DF3"/>
    <w:rsid w:val="00082307"/>
    <w:rsid w:val="00082D5B"/>
    <w:rsid w:val="00087993"/>
    <w:rsid w:val="00091D39"/>
    <w:rsid w:val="00092CC1"/>
    <w:rsid w:val="000A51AE"/>
    <w:rsid w:val="000B11DE"/>
    <w:rsid w:val="000B2A08"/>
    <w:rsid w:val="000B7629"/>
    <w:rsid w:val="000C1136"/>
    <w:rsid w:val="000C1666"/>
    <w:rsid w:val="000C3446"/>
    <w:rsid w:val="000C562D"/>
    <w:rsid w:val="000D0F34"/>
    <w:rsid w:val="000D68CF"/>
    <w:rsid w:val="000E172A"/>
    <w:rsid w:val="000E177C"/>
    <w:rsid w:val="000F0240"/>
    <w:rsid w:val="000F5525"/>
    <w:rsid w:val="0011755F"/>
    <w:rsid w:val="00120AD3"/>
    <w:rsid w:val="00123831"/>
    <w:rsid w:val="00124049"/>
    <w:rsid w:val="00132F42"/>
    <w:rsid w:val="0013465E"/>
    <w:rsid w:val="001352DD"/>
    <w:rsid w:val="00135AD5"/>
    <w:rsid w:val="001400D2"/>
    <w:rsid w:val="00146D27"/>
    <w:rsid w:val="0015014A"/>
    <w:rsid w:val="0015265C"/>
    <w:rsid w:val="00152954"/>
    <w:rsid w:val="00153F2B"/>
    <w:rsid w:val="00157363"/>
    <w:rsid w:val="001576C9"/>
    <w:rsid w:val="00160684"/>
    <w:rsid w:val="00160FC0"/>
    <w:rsid w:val="001674CA"/>
    <w:rsid w:val="00170558"/>
    <w:rsid w:val="00172C1F"/>
    <w:rsid w:val="001754FD"/>
    <w:rsid w:val="00185CA0"/>
    <w:rsid w:val="00187CC3"/>
    <w:rsid w:val="00190A27"/>
    <w:rsid w:val="001A3574"/>
    <w:rsid w:val="001A43B1"/>
    <w:rsid w:val="001B0233"/>
    <w:rsid w:val="001B0B0D"/>
    <w:rsid w:val="001B0B38"/>
    <w:rsid w:val="001B2761"/>
    <w:rsid w:val="001C4039"/>
    <w:rsid w:val="001C4089"/>
    <w:rsid w:val="001C4523"/>
    <w:rsid w:val="001D1103"/>
    <w:rsid w:val="001D3A26"/>
    <w:rsid w:val="001E1966"/>
    <w:rsid w:val="001F3FF1"/>
    <w:rsid w:val="001F54D6"/>
    <w:rsid w:val="0020076B"/>
    <w:rsid w:val="00202E73"/>
    <w:rsid w:val="0021242B"/>
    <w:rsid w:val="00224879"/>
    <w:rsid w:val="00224E06"/>
    <w:rsid w:val="00233A61"/>
    <w:rsid w:val="002351E2"/>
    <w:rsid w:val="00243A68"/>
    <w:rsid w:val="0024622E"/>
    <w:rsid w:val="0025359F"/>
    <w:rsid w:val="00253623"/>
    <w:rsid w:val="00253CC6"/>
    <w:rsid w:val="00265A23"/>
    <w:rsid w:val="00266EA1"/>
    <w:rsid w:val="00267B5C"/>
    <w:rsid w:val="002714B3"/>
    <w:rsid w:val="0028311B"/>
    <w:rsid w:val="00283D0C"/>
    <w:rsid w:val="00285FBD"/>
    <w:rsid w:val="00290596"/>
    <w:rsid w:val="002973DF"/>
    <w:rsid w:val="002A15D2"/>
    <w:rsid w:val="002B1B37"/>
    <w:rsid w:val="002B23BE"/>
    <w:rsid w:val="002B6052"/>
    <w:rsid w:val="002B78BE"/>
    <w:rsid w:val="002B7D29"/>
    <w:rsid w:val="002C0558"/>
    <w:rsid w:val="002C5281"/>
    <w:rsid w:val="002E23B0"/>
    <w:rsid w:val="00300A16"/>
    <w:rsid w:val="003039E1"/>
    <w:rsid w:val="0030527B"/>
    <w:rsid w:val="00306C83"/>
    <w:rsid w:val="00327DA4"/>
    <w:rsid w:val="003316E8"/>
    <w:rsid w:val="00335715"/>
    <w:rsid w:val="00343417"/>
    <w:rsid w:val="00355F9E"/>
    <w:rsid w:val="00357E02"/>
    <w:rsid w:val="0037302E"/>
    <w:rsid w:val="0037520D"/>
    <w:rsid w:val="00380609"/>
    <w:rsid w:val="00383FA9"/>
    <w:rsid w:val="003919C1"/>
    <w:rsid w:val="00397F76"/>
    <w:rsid w:val="003A0430"/>
    <w:rsid w:val="003A1F74"/>
    <w:rsid w:val="003A7B67"/>
    <w:rsid w:val="003B3329"/>
    <w:rsid w:val="003B67F8"/>
    <w:rsid w:val="003C5FFE"/>
    <w:rsid w:val="003D0D6D"/>
    <w:rsid w:val="003D2342"/>
    <w:rsid w:val="003E44CA"/>
    <w:rsid w:val="003E6DC0"/>
    <w:rsid w:val="003F07E5"/>
    <w:rsid w:val="003F08ED"/>
    <w:rsid w:val="003F21CB"/>
    <w:rsid w:val="003F649D"/>
    <w:rsid w:val="004030D1"/>
    <w:rsid w:val="00403180"/>
    <w:rsid w:val="004062EB"/>
    <w:rsid w:val="004073E1"/>
    <w:rsid w:val="0041069A"/>
    <w:rsid w:val="00415896"/>
    <w:rsid w:val="00420D47"/>
    <w:rsid w:val="00424075"/>
    <w:rsid w:val="00430A69"/>
    <w:rsid w:val="0043605D"/>
    <w:rsid w:val="00440458"/>
    <w:rsid w:val="00441960"/>
    <w:rsid w:val="0044292C"/>
    <w:rsid w:val="00452C5B"/>
    <w:rsid w:val="00456436"/>
    <w:rsid w:val="00457E80"/>
    <w:rsid w:val="00462AEE"/>
    <w:rsid w:val="004676C0"/>
    <w:rsid w:val="00475C1B"/>
    <w:rsid w:val="00476AE7"/>
    <w:rsid w:val="004771FA"/>
    <w:rsid w:val="004941F0"/>
    <w:rsid w:val="004A107A"/>
    <w:rsid w:val="004A2CA0"/>
    <w:rsid w:val="004B22CF"/>
    <w:rsid w:val="004B45FA"/>
    <w:rsid w:val="004B4E88"/>
    <w:rsid w:val="004B57AC"/>
    <w:rsid w:val="004B5954"/>
    <w:rsid w:val="004C6B41"/>
    <w:rsid w:val="004D066A"/>
    <w:rsid w:val="004D16F9"/>
    <w:rsid w:val="004D388C"/>
    <w:rsid w:val="004E1EEA"/>
    <w:rsid w:val="004E26E5"/>
    <w:rsid w:val="004E2704"/>
    <w:rsid w:val="004E5F71"/>
    <w:rsid w:val="004F16BF"/>
    <w:rsid w:val="00512D9B"/>
    <w:rsid w:val="00513D64"/>
    <w:rsid w:val="005148BB"/>
    <w:rsid w:val="00515ABD"/>
    <w:rsid w:val="00516ED1"/>
    <w:rsid w:val="00521DB4"/>
    <w:rsid w:val="005224BB"/>
    <w:rsid w:val="00522B64"/>
    <w:rsid w:val="00524554"/>
    <w:rsid w:val="00525450"/>
    <w:rsid w:val="00525E14"/>
    <w:rsid w:val="00536ADD"/>
    <w:rsid w:val="0054010B"/>
    <w:rsid w:val="00546108"/>
    <w:rsid w:val="00546A34"/>
    <w:rsid w:val="00553D53"/>
    <w:rsid w:val="005629A3"/>
    <w:rsid w:val="005630F4"/>
    <w:rsid w:val="005648A5"/>
    <w:rsid w:val="00571D3F"/>
    <w:rsid w:val="00571D59"/>
    <w:rsid w:val="005921D1"/>
    <w:rsid w:val="00594BD8"/>
    <w:rsid w:val="00596F88"/>
    <w:rsid w:val="005976AA"/>
    <w:rsid w:val="005A08DB"/>
    <w:rsid w:val="005B1DBA"/>
    <w:rsid w:val="005B21BE"/>
    <w:rsid w:val="005B57BE"/>
    <w:rsid w:val="005C537F"/>
    <w:rsid w:val="005D2019"/>
    <w:rsid w:val="005D6FB6"/>
    <w:rsid w:val="005E1BFB"/>
    <w:rsid w:val="005E47B7"/>
    <w:rsid w:val="005E48AF"/>
    <w:rsid w:val="005E4EC3"/>
    <w:rsid w:val="005E52B6"/>
    <w:rsid w:val="005E52E8"/>
    <w:rsid w:val="005E5D78"/>
    <w:rsid w:val="005E724D"/>
    <w:rsid w:val="005F24A8"/>
    <w:rsid w:val="005F4634"/>
    <w:rsid w:val="005F605D"/>
    <w:rsid w:val="00601645"/>
    <w:rsid w:val="00601BD4"/>
    <w:rsid w:val="006033CB"/>
    <w:rsid w:val="006038C6"/>
    <w:rsid w:val="006174CD"/>
    <w:rsid w:val="006214A7"/>
    <w:rsid w:val="00630B3F"/>
    <w:rsid w:val="00631924"/>
    <w:rsid w:val="00646CCB"/>
    <w:rsid w:val="006473D9"/>
    <w:rsid w:val="006716BC"/>
    <w:rsid w:val="006754F5"/>
    <w:rsid w:val="006804DB"/>
    <w:rsid w:val="006826BA"/>
    <w:rsid w:val="0069042A"/>
    <w:rsid w:val="00690C32"/>
    <w:rsid w:val="006A162D"/>
    <w:rsid w:val="006A24D1"/>
    <w:rsid w:val="006A69F2"/>
    <w:rsid w:val="006B14D5"/>
    <w:rsid w:val="006B5A46"/>
    <w:rsid w:val="006B7968"/>
    <w:rsid w:val="006C02F3"/>
    <w:rsid w:val="006C1978"/>
    <w:rsid w:val="006C2DD5"/>
    <w:rsid w:val="006E4BCB"/>
    <w:rsid w:val="006F389A"/>
    <w:rsid w:val="006F505E"/>
    <w:rsid w:val="0070040E"/>
    <w:rsid w:val="0070267E"/>
    <w:rsid w:val="0070700F"/>
    <w:rsid w:val="007078E9"/>
    <w:rsid w:val="007108E7"/>
    <w:rsid w:val="00717775"/>
    <w:rsid w:val="00721BFC"/>
    <w:rsid w:val="007314A0"/>
    <w:rsid w:val="00733FAC"/>
    <w:rsid w:val="0074133D"/>
    <w:rsid w:val="007525DA"/>
    <w:rsid w:val="00755F6D"/>
    <w:rsid w:val="0078112D"/>
    <w:rsid w:val="007859BB"/>
    <w:rsid w:val="007869DF"/>
    <w:rsid w:val="007875E8"/>
    <w:rsid w:val="007942E4"/>
    <w:rsid w:val="00795464"/>
    <w:rsid w:val="007A03F3"/>
    <w:rsid w:val="007A5405"/>
    <w:rsid w:val="007A6B7E"/>
    <w:rsid w:val="007B195B"/>
    <w:rsid w:val="007C1733"/>
    <w:rsid w:val="007D19F7"/>
    <w:rsid w:val="007E072C"/>
    <w:rsid w:val="007F0BFC"/>
    <w:rsid w:val="007F46AB"/>
    <w:rsid w:val="0082462E"/>
    <w:rsid w:val="00831FA2"/>
    <w:rsid w:val="00842238"/>
    <w:rsid w:val="0084317F"/>
    <w:rsid w:val="0084491E"/>
    <w:rsid w:val="00844982"/>
    <w:rsid w:val="00844CDA"/>
    <w:rsid w:val="00851D60"/>
    <w:rsid w:val="00857D4E"/>
    <w:rsid w:val="0086359B"/>
    <w:rsid w:val="00865172"/>
    <w:rsid w:val="00865BA5"/>
    <w:rsid w:val="00872404"/>
    <w:rsid w:val="00875E5A"/>
    <w:rsid w:val="00876316"/>
    <w:rsid w:val="008A098A"/>
    <w:rsid w:val="008A0EA2"/>
    <w:rsid w:val="008A2851"/>
    <w:rsid w:val="008A3385"/>
    <w:rsid w:val="008B3633"/>
    <w:rsid w:val="008B548D"/>
    <w:rsid w:val="008B637E"/>
    <w:rsid w:val="008C2757"/>
    <w:rsid w:val="008E138C"/>
    <w:rsid w:val="008E456C"/>
    <w:rsid w:val="008E65D4"/>
    <w:rsid w:val="008F4C74"/>
    <w:rsid w:val="00904B3C"/>
    <w:rsid w:val="00905348"/>
    <w:rsid w:val="009062C5"/>
    <w:rsid w:val="0091458B"/>
    <w:rsid w:val="00917007"/>
    <w:rsid w:val="00920927"/>
    <w:rsid w:val="00925D31"/>
    <w:rsid w:val="00936EAE"/>
    <w:rsid w:val="009456DF"/>
    <w:rsid w:val="00946033"/>
    <w:rsid w:val="00954885"/>
    <w:rsid w:val="00961369"/>
    <w:rsid w:val="009651C3"/>
    <w:rsid w:val="00972322"/>
    <w:rsid w:val="00972B3D"/>
    <w:rsid w:val="00973BE3"/>
    <w:rsid w:val="00973E6C"/>
    <w:rsid w:val="00974493"/>
    <w:rsid w:val="0097628C"/>
    <w:rsid w:val="00977347"/>
    <w:rsid w:val="00990134"/>
    <w:rsid w:val="00994CEE"/>
    <w:rsid w:val="009A00E9"/>
    <w:rsid w:val="009B1601"/>
    <w:rsid w:val="009B5429"/>
    <w:rsid w:val="009C2E7D"/>
    <w:rsid w:val="009D238A"/>
    <w:rsid w:val="009E14B4"/>
    <w:rsid w:val="009E6073"/>
    <w:rsid w:val="009E7F8F"/>
    <w:rsid w:val="009E7FAA"/>
    <w:rsid w:val="009F3546"/>
    <w:rsid w:val="009F35DB"/>
    <w:rsid w:val="009F4A91"/>
    <w:rsid w:val="009F70D8"/>
    <w:rsid w:val="00A04652"/>
    <w:rsid w:val="00A136D5"/>
    <w:rsid w:val="00A13C6E"/>
    <w:rsid w:val="00A15942"/>
    <w:rsid w:val="00A15F24"/>
    <w:rsid w:val="00A3002C"/>
    <w:rsid w:val="00A31E43"/>
    <w:rsid w:val="00A35BE4"/>
    <w:rsid w:val="00A4002B"/>
    <w:rsid w:val="00A4285B"/>
    <w:rsid w:val="00A4656C"/>
    <w:rsid w:val="00A50C57"/>
    <w:rsid w:val="00A57244"/>
    <w:rsid w:val="00A7341A"/>
    <w:rsid w:val="00A77DE1"/>
    <w:rsid w:val="00A90E8D"/>
    <w:rsid w:val="00A9322B"/>
    <w:rsid w:val="00A979A5"/>
    <w:rsid w:val="00AA623D"/>
    <w:rsid w:val="00AB710B"/>
    <w:rsid w:val="00AB7C43"/>
    <w:rsid w:val="00AC051F"/>
    <w:rsid w:val="00AC3943"/>
    <w:rsid w:val="00AC3C6E"/>
    <w:rsid w:val="00AC4B6F"/>
    <w:rsid w:val="00AC7F7B"/>
    <w:rsid w:val="00AD024D"/>
    <w:rsid w:val="00AD300D"/>
    <w:rsid w:val="00AD3E25"/>
    <w:rsid w:val="00AD50EB"/>
    <w:rsid w:val="00AF09C6"/>
    <w:rsid w:val="00AF51F0"/>
    <w:rsid w:val="00AF5B63"/>
    <w:rsid w:val="00AF68C1"/>
    <w:rsid w:val="00AF6F6F"/>
    <w:rsid w:val="00B116DB"/>
    <w:rsid w:val="00B147EE"/>
    <w:rsid w:val="00B239CC"/>
    <w:rsid w:val="00B2548E"/>
    <w:rsid w:val="00B26A8B"/>
    <w:rsid w:val="00B30613"/>
    <w:rsid w:val="00B33D54"/>
    <w:rsid w:val="00B35882"/>
    <w:rsid w:val="00B36D7E"/>
    <w:rsid w:val="00B40181"/>
    <w:rsid w:val="00B44557"/>
    <w:rsid w:val="00B54939"/>
    <w:rsid w:val="00B549AB"/>
    <w:rsid w:val="00B67363"/>
    <w:rsid w:val="00B67CFF"/>
    <w:rsid w:val="00B725EE"/>
    <w:rsid w:val="00B767E2"/>
    <w:rsid w:val="00B76B8C"/>
    <w:rsid w:val="00B81AE2"/>
    <w:rsid w:val="00B835A9"/>
    <w:rsid w:val="00B9071E"/>
    <w:rsid w:val="00B9165D"/>
    <w:rsid w:val="00B954B7"/>
    <w:rsid w:val="00BA2D47"/>
    <w:rsid w:val="00BA6B02"/>
    <w:rsid w:val="00BB6F87"/>
    <w:rsid w:val="00BC1105"/>
    <w:rsid w:val="00BC37A3"/>
    <w:rsid w:val="00BD214E"/>
    <w:rsid w:val="00BE1C3F"/>
    <w:rsid w:val="00BE1E17"/>
    <w:rsid w:val="00C062A8"/>
    <w:rsid w:val="00C104B6"/>
    <w:rsid w:val="00C11844"/>
    <w:rsid w:val="00C22809"/>
    <w:rsid w:val="00C25228"/>
    <w:rsid w:val="00C347CE"/>
    <w:rsid w:val="00C35A24"/>
    <w:rsid w:val="00C41263"/>
    <w:rsid w:val="00C440EB"/>
    <w:rsid w:val="00C52925"/>
    <w:rsid w:val="00C5389C"/>
    <w:rsid w:val="00C6129E"/>
    <w:rsid w:val="00C7297E"/>
    <w:rsid w:val="00C733AC"/>
    <w:rsid w:val="00C7421A"/>
    <w:rsid w:val="00C774EF"/>
    <w:rsid w:val="00C825D6"/>
    <w:rsid w:val="00C9622F"/>
    <w:rsid w:val="00CB019E"/>
    <w:rsid w:val="00CB5B07"/>
    <w:rsid w:val="00CC0D00"/>
    <w:rsid w:val="00CE3EA2"/>
    <w:rsid w:val="00CE5B73"/>
    <w:rsid w:val="00CE78D6"/>
    <w:rsid w:val="00CF6CF9"/>
    <w:rsid w:val="00D02DA8"/>
    <w:rsid w:val="00D05D70"/>
    <w:rsid w:val="00D0777A"/>
    <w:rsid w:val="00D12CC5"/>
    <w:rsid w:val="00D1584B"/>
    <w:rsid w:val="00D1686F"/>
    <w:rsid w:val="00D16BE3"/>
    <w:rsid w:val="00D1774C"/>
    <w:rsid w:val="00D22EBF"/>
    <w:rsid w:val="00D26F82"/>
    <w:rsid w:val="00D34112"/>
    <w:rsid w:val="00D403AE"/>
    <w:rsid w:val="00D45F6F"/>
    <w:rsid w:val="00D46844"/>
    <w:rsid w:val="00D52C36"/>
    <w:rsid w:val="00D718E2"/>
    <w:rsid w:val="00D8616D"/>
    <w:rsid w:val="00D94026"/>
    <w:rsid w:val="00D9693F"/>
    <w:rsid w:val="00DA303A"/>
    <w:rsid w:val="00DB60EB"/>
    <w:rsid w:val="00DC2C59"/>
    <w:rsid w:val="00DD2583"/>
    <w:rsid w:val="00DE2CE2"/>
    <w:rsid w:val="00DE490D"/>
    <w:rsid w:val="00DF4673"/>
    <w:rsid w:val="00E01F8E"/>
    <w:rsid w:val="00E040E8"/>
    <w:rsid w:val="00E067D5"/>
    <w:rsid w:val="00E06F4E"/>
    <w:rsid w:val="00E14C1E"/>
    <w:rsid w:val="00E14F2E"/>
    <w:rsid w:val="00E170EF"/>
    <w:rsid w:val="00E232A1"/>
    <w:rsid w:val="00E2363B"/>
    <w:rsid w:val="00E26117"/>
    <w:rsid w:val="00E431C1"/>
    <w:rsid w:val="00E615BF"/>
    <w:rsid w:val="00E65016"/>
    <w:rsid w:val="00E71002"/>
    <w:rsid w:val="00E91BBC"/>
    <w:rsid w:val="00EA01B5"/>
    <w:rsid w:val="00EA3511"/>
    <w:rsid w:val="00EB748C"/>
    <w:rsid w:val="00EC198B"/>
    <w:rsid w:val="00EC1B25"/>
    <w:rsid w:val="00ED05FB"/>
    <w:rsid w:val="00ED30D3"/>
    <w:rsid w:val="00ED32A2"/>
    <w:rsid w:val="00ED5105"/>
    <w:rsid w:val="00ED592C"/>
    <w:rsid w:val="00ED5AC2"/>
    <w:rsid w:val="00EF1DF1"/>
    <w:rsid w:val="00EF563F"/>
    <w:rsid w:val="00F01E2B"/>
    <w:rsid w:val="00F063A6"/>
    <w:rsid w:val="00F14CBA"/>
    <w:rsid w:val="00F22D7B"/>
    <w:rsid w:val="00F32925"/>
    <w:rsid w:val="00F3484F"/>
    <w:rsid w:val="00F420AE"/>
    <w:rsid w:val="00F50539"/>
    <w:rsid w:val="00F561B3"/>
    <w:rsid w:val="00F578B9"/>
    <w:rsid w:val="00F61D9F"/>
    <w:rsid w:val="00F66431"/>
    <w:rsid w:val="00F66EC1"/>
    <w:rsid w:val="00F744C6"/>
    <w:rsid w:val="00F938EB"/>
    <w:rsid w:val="00FA1B9B"/>
    <w:rsid w:val="00FA1F20"/>
    <w:rsid w:val="00FA77B7"/>
    <w:rsid w:val="00FB2403"/>
    <w:rsid w:val="00FB3B43"/>
    <w:rsid w:val="00FB5DC8"/>
    <w:rsid w:val="00FB78EE"/>
    <w:rsid w:val="00FC197F"/>
    <w:rsid w:val="00FC1B17"/>
    <w:rsid w:val="00FC2B3E"/>
    <w:rsid w:val="00FD52F6"/>
    <w:rsid w:val="00FF08E3"/>
    <w:rsid w:val="00FF1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DBD1C46-48A2-4747-A6C1-2FA402D2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8B9"/>
    <w:rPr>
      <w:rFonts w:ascii="Times New Roman" w:eastAsia="Times New Roman" w:hAnsi="Times New Roman"/>
      <w:sz w:val="24"/>
      <w:szCs w:val="24"/>
    </w:rPr>
  </w:style>
  <w:style w:type="paragraph" w:styleId="Heading1">
    <w:name w:val="heading 1"/>
    <w:basedOn w:val="Normal"/>
    <w:next w:val="Normal"/>
    <w:link w:val="Heading1Char"/>
    <w:qFormat/>
    <w:rsid w:val="00F578B9"/>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F578B9"/>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F578B9"/>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755F6D"/>
    <w:pPr>
      <w:keepNext/>
      <w:outlineLvl w:val="3"/>
    </w:pPr>
    <w:rPr>
      <w:rFonts w:ascii="Arial" w:hAnsi="Arial"/>
      <w:b/>
      <w:sz w:val="28"/>
      <w:szCs w:val="48"/>
      <w:lang w:val="x-none" w:eastAsia="x-none"/>
    </w:rPr>
  </w:style>
  <w:style w:type="paragraph" w:styleId="Heading5">
    <w:name w:val="heading 5"/>
    <w:basedOn w:val="Normal"/>
    <w:next w:val="Normal"/>
    <w:link w:val="Heading5Char"/>
    <w:qFormat/>
    <w:rsid w:val="00F578B9"/>
    <w:pPr>
      <w:keepNext/>
      <w:autoSpaceDE w:val="0"/>
      <w:autoSpaceDN w:val="0"/>
      <w:adjustRightInd w:val="0"/>
      <w:outlineLvl w:val="4"/>
    </w:pPr>
    <w:rPr>
      <w:rFonts w:ascii="Arial" w:hAnsi="Arial"/>
      <w:b/>
      <w:color w:val="000000"/>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78B9"/>
    <w:rPr>
      <w:rFonts w:ascii="Arial" w:eastAsia="Times New Roman" w:hAnsi="Arial" w:cs="Arial"/>
      <w:b/>
      <w:bCs/>
      <w:kern w:val="32"/>
      <w:sz w:val="32"/>
      <w:szCs w:val="32"/>
    </w:rPr>
  </w:style>
  <w:style w:type="character" w:customStyle="1" w:styleId="Heading2Char">
    <w:name w:val="Heading 2 Char"/>
    <w:link w:val="Heading2"/>
    <w:rsid w:val="00F578B9"/>
    <w:rPr>
      <w:rFonts w:ascii="Arial" w:eastAsia="Times New Roman" w:hAnsi="Arial" w:cs="Arial"/>
      <w:b/>
      <w:bCs/>
      <w:i/>
      <w:iCs/>
      <w:sz w:val="28"/>
      <w:szCs w:val="28"/>
    </w:rPr>
  </w:style>
  <w:style w:type="character" w:customStyle="1" w:styleId="Heading3Char">
    <w:name w:val="Heading 3 Char"/>
    <w:link w:val="Heading3"/>
    <w:rsid w:val="00F578B9"/>
    <w:rPr>
      <w:rFonts w:ascii="Arial" w:eastAsia="Times New Roman" w:hAnsi="Arial" w:cs="Arial"/>
      <w:b/>
      <w:bCs/>
      <w:sz w:val="26"/>
      <w:szCs w:val="26"/>
    </w:rPr>
  </w:style>
  <w:style w:type="character" w:customStyle="1" w:styleId="Heading4Char">
    <w:name w:val="Heading 4 Char"/>
    <w:link w:val="Heading4"/>
    <w:rsid w:val="00755F6D"/>
    <w:rPr>
      <w:rFonts w:ascii="Arial" w:eastAsia="Times New Roman" w:hAnsi="Arial" w:cs="Arial"/>
      <w:b/>
      <w:sz w:val="28"/>
      <w:szCs w:val="48"/>
    </w:rPr>
  </w:style>
  <w:style w:type="character" w:customStyle="1" w:styleId="Heading5Char">
    <w:name w:val="Heading 5 Char"/>
    <w:link w:val="Heading5"/>
    <w:rsid w:val="00F578B9"/>
    <w:rPr>
      <w:rFonts w:ascii="Arial" w:eastAsia="Times New Roman" w:hAnsi="Arial" w:cs="Arial"/>
      <w:b/>
      <w:color w:val="000000"/>
      <w:sz w:val="20"/>
      <w:szCs w:val="24"/>
    </w:rPr>
  </w:style>
  <w:style w:type="paragraph" w:styleId="TOC1">
    <w:name w:val="toc 1"/>
    <w:basedOn w:val="Normal"/>
    <w:next w:val="Normal"/>
    <w:autoRedefine/>
    <w:uiPriority w:val="39"/>
    <w:rsid w:val="00E2363B"/>
    <w:pPr>
      <w:tabs>
        <w:tab w:val="right" w:leader="dot" w:pos="9350"/>
      </w:tabs>
    </w:pPr>
    <w:rPr>
      <w:noProof/>
    </w:rPr>
  </w:style>
  <w:style w:type="paragraph" w:styleId="TOC2">
    <w:name w:val="toc 2"/>
    <w:basedOn w:val="Normal"/>
    <w:next w:val="Normal"/>
    <w:autoRedefine/>
    <w:uiPriority w:val="39"/>
    <w:rsid w:val="00F578B9"/>
    <w:pPr>
      <w:ind w:left="240"/>
    </w:pPr>
  </w:style>
  <w:style w:type="character" w:styleId="Hyperlink">
    <w:name w:val="Hyperlink"/>
    <w:uiPriority w:val="99"/>
    <w:rsid w:val="00F578B9"/>
    <w:rPr>
      <w:color w:val="0000FF"/>
      <w:u w:val="single"/>
    </w:rPr>
  </w:style>
  <w:style w:type="paragraph" w:styleId="Footer">
    <w:name w:val="footer"/>
    <w:basedOn w:val="Normal"/>
    <w:link w:val="FooterChar"/>
    <w:uiPriority w:val="99"/>
    <w:rsid w:val="00F578B9"/>
    <w:pPr>
      <w:tabs>
        <w:tab w:val="center" w:pos="4320"/>
        <w:tab w:val="right" w:pos="8640"/>
      </w:tabs>
    </w:pPr>
    <w:rPr>
      <w:lang w:val="x-none" w:eastAsia="x-none"/>
    </w:rPr>
  </w:style>
  <w:style w:type="character" w:customStyle="1" w:styleId="FooterChar">
    <w:name w:val="Footer Char"/>
    <w:link w:val="Footer"/>
    <w:uiPriority w:val="99"/>
    <w:rsid w:val="00F578B9"/>
    <w:rPr>
      <w:rFonts w:ascii="Times New Roman" w:eastAsia="Times New Roman" w:hAnsi="Times New Roman" w:cs="Times New Roman"/>
      <w:sz w:val="24"/>
      <w:szCs w:val="24"/>
    </w:rPr>
  </w:style>
  <w:style w:type="character" w:styleId="PageNumber">
    <w:name w:val="page number"/>
    <w:semiHidden/>
    <w:rsid w:val="00F578B9"/>
  </w:style>
  <w:style w:type="paragraph" w:styleId="Header">
    <w:name w:val="header"/>
    <w:basedOn w:val="Normal"/>
    <w:link w:val="HeaderChar"/>
    <w:semiHidden/>
    <w:rsid w:val="00F578B9"/>
    <w:pPr>
      <w:tabs>
        <w:tab w:val="center" w:pos="4320"/>
        <w:tab w:val="right" w:pos="8640"/>
      </w:tabs>
    </w:pPr>
    <w:rPr>
      <w:lang w:val="x-none" w:eastAsia="x-none"/>
    </w:rPr>
  </w:style>
  <w:style w:type="character" w:customStyle="1" w:styleId="HeaderChar">
    <w:name w:val="Header Char"/>
    <w:link w:val="Header"/>
    <w:semiHidden/>
    <w:rsid w:val="00F578B9"/>
    <w:rPr>
      <w:rFonts w:ascii="Times New Roman" w:eastAsia="Times New Roman" w:hAnsi="Times New Roman" w:cs="Times New Roman"/>
      <w:sz w:val="24"/>
      <w:szCs w:val="24"/>
    </w:rPr>
  </w:style>
  <w:style w:type="paragraph" w:styleId="TOC3">
    <w:name w:val="toc 3"/>
    <w:basedOn w:val="Normal"/>
    <w:next w:val="Normal"/>
    <w:autoRedefine/>
    <w:uiPriority w:val="39"/>
    <w:rsid w:val="00F578B9"/>
    <w:pPr>
      <w:ind w:left="480"/>
    </w:pPr>
  </w:style>
  <w:style w:type="paragraph" w:styleId="EndnoteText">
    <w:name w:val="endnote text"/>
    <w:basedOn w:val="Normal"/>
    <w:link w:val="EndnoteTextChar"/>
    <w:semiHidden/>
    <w:rsid w:val="00F578B9"/>
    <w:rPr>
      <w:sz w:val="20"/>
      <w:szCs w:val="20"/>
      <w:lang w:val="x-none" w:eastAsia="x-none"/>
    </w:rPr>
  </w:style>
  <w:style w:type="character" w:customStyle="1" w:styleId="EndnoteTextChar">
    <w:name w:val="Endnote Text Char"/>
    <w:link w:val="EndnoteText"/>
    <w:rsid w:val="00F578B9"/>
    <w:rPr>
      <w:rFonts w:ascii="Times New Roman" w:eastAsia="Times New Roman" w:hAnsi="Times New Roman" w:cs="Times New Roman"/>
      <w:sz w:val="20"/>
      <w:szCs w:val="20"/>
    </w:rPr>
  </w:style>
  <w:style w:type="character" w:styleId="EndnoteReference">
    <w:name w:val="endnote reference"/>
    <w:uiPriority w:val="99"/>
    <w:semiHidden/>
    <w:rsid w:val="00F578B9"/>
    <w:rPr>
      <w:vertAlign w:val="superscript"/>
    </w:rPr>
  </w:style>
  <w:style w:type="paragraph" w:styleId="Index1">
    <w:name w:val="index 1"/>
    <w:basedOn w:val="Normal"/>
    <w:next w:val="Normal"/>
    <w:autoRedefine/>
    <w:uiPriority w:val="99"/>
    <w:semiHidden/>
    <w:rsid w:val="00F578B9"/>
    <w:pPr>
      <w:ind w:left="240" w:hanging="240"/>
    </w:pPr>
    <w:rPr>
      <w:sz w:val="22"/>
    </w:rPr>
  </w:style>
  <w:style w:type="paragraph" w:customStyle="1" w:styleId="Normal2">
    <w:name w:val="Normal2"/>
    <w:basedOn w:val="Normal"/>
    <w:next w:val="pF"/>
    <w:rsid w:val="00F578B9"/>
    <w:pPr>
      <w:spacing w:line="280" w:lineRule="atLeast"/>
    </w:pPr>
    <w:rPr>
      <w:szCs w:val="20"/>
    </w:rPr>
  </w:style>
  <w:style w:type="paragraph" w:customStyle="1" w:styleId="pF">
    <w:name w:val="pF"/>
    <w:next w:val="Normal2"/>
    <w:rsid w:val="00F578B9"/>
    <w:pPr>
      <w:spacing w:line="320" w:lineRule="atLeast"/>
    </w:pPr>
    <w:rPr>
      <w:rFonts w:ascii="Times New Roman" w:eastAsia="Times New Roman" w:hAnsi="Times New Roman"/>
      <w:sz w:val="24"/>
    </w:rPr>
  </w:style>
  <w:style w:type="paragraph" w:styleId="BalloonText">
    <w:name w:val="Balloon Text"/>
    <w:basedOn w:val="Normal"/>
    <w:link w:val="BalloonTextChar"/>
    <w:semiHidden/>
    <w:rsid w:val="00F578B9"/>
    <w:rPr>
      <w:rFonts w:ascii="Tahoma" w:hAnsi="Tahoma"/>
      <w:sz w:val="16"/>
      <w:szCs w:val="16"/>
      <w:lang w:val="x-none" w:eastAsia="x-none"/>
    </w:rPr>
  </w:style>
  <w:style w:type="character" w:customStyle="1" w:styleId="BalloonTextChar">
    <w:name w:val="Balloon Text Char"/>
    <w:link w:val="BalloonText"/>
    <w:semiHidden/>
    <w:rsid w:val="00F578B9"/>
    <w:rPr>
      <w:rFonts w:ascii="Tahoma" w:eastAsia="Times New Roman" w:hAnsi="Tahoma" w:cs="Tahoma"/>
      <w:sz w:val="16"/>
      <w:szCs w:val="16"/>
    </w:rPr>
  </w:style>
  <w:style w:type="paragraph" w:styleId="Caption">
    <w:name w:val="caption"/>
    <w:basedOn w:val="Normal"/>
    <w:next w:val="Normal"/>
    <w:link w:val="CaptionChar"/>
    <w:qFormat/>
    <w:rsid w:val="00F578B9"/>
    <w:rPr>
      <w:b/>
      <w:bCs/>
      <w:sz w:val="20"/>
      <w:szCs w:val="20"/>
      <w:lang w:val="x-none" w:eastAsia="x-none"/>
    </w:rPr>
  </w:style>
  <w:style w:type="paragraph" w:styleId="TableofFigures">
    <w:name w:val="table of figures"/>
    <w:basedOn w:val="Normal"/>
    <w:next w:val="Normal"/>
    <w:uiPriority w:val="99"/>
    <w:rsid w:val="00F578B9"/>
  </w:style>
  <w:style w:type="paragraph" w:styleId="NormalWeb">
    <w:name w:val="Normal (Web)"/>
    <w:basedOn w:val="Normal"/>
    <w:semiHidden/>
    <w:rsid w:val="00F578B9"/>
    <w:pPr>
      <w:spacing w:before="100" w:beforeAutospacing="1" w:after="100" w:afterAutospacing="1"/>
    </w:pPr>
  </w:style>
  <w:style w:type="character" w:styleId="FollowedHyperlink">
    <w:name w:val="FollowedHyperlink"/>
    <w:semiHidden/>
    <w:rsid w:val="00F578B9"/>
    <w:rPr>
      <w:color w:val="800080"/>
      <w:u w:val="single"/>
    </w:rPr>
  </w:style>
  <w:style w:type="paragraph" w:customStyle="1" w:styleId="xl27">
    <w:name w:val="xl27"/>
    <w:basedOn w:val="Normal"/>
    <w:rsid w:val="00F578B9"/>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F578B9"/>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F578B9"/>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F578B9"/>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F578B9"/>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F578B9"/>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F578B9"/>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F578B9"/>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F578B9"/>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F578B9"/>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F578B9"/>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F578B9"/>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F578B9"/>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F578B9"/>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F578B9"/>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F578B9"/>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F578B9"/>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F578B9"/>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F578B9"/>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F578B9"/>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F578B9"/>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F578B9"/>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F578B9"/>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F578B9"/>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F578B9"/>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F578B9"/>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F578B9"/>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F578B9"/>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pB">
    <w:name w:val="pB"/>
    <w:basedOn w:val="Normal"/>
    <w:next w:val="Normal"/>
    <w:rsid w:val="00F578B9"/>
    <w:pPr>
      <w:tabs>
        <w:tab w:val="left" w:pos="720"/>
        <w:tab w:val="left" w:pos="1080"/>
      </w:tabs>
      <w:spacing w:line="280" w:lineRule="atLeast"/>
      <w:ind w:left="720" w:right="288" w:hanging="432"/>
    </w:pPr>
    <w:rPr>
      <w:szCs w:val="20"/>
    </w:rPr>
  </w:style>
  <w:style w:type="paragraph" w:customStyle="1" w:styleId="num1">
    <w:name w:val="num1"/>
    <w:basedOn w:val="Normal"/>
    <w:rsid w:val="00F578B9"/>
    <w:pPr>
      <w:tabs>
        <w:tab w:val="left" w:pos="-720"/>
      </w:tabs>
      <w:suppressAutoHyphens/>
      <w:spacing w:line="360" w:lineRule="auto"/>
      <w:ind w:firstLine="360"/>
    </w:pPr>
    <w:rPr>
      <w:rFonts w:ascii="Palatino" w:hAnsi="Palatino"/>
      <w:sz w:val="26"/>
      <w:szCs w:val="20"/>
    </w:rPr>
  </w:style>
  <w:style w:type="character" w:styleId="CommentReference">
    <w:name w:val="annotation reference"/>
    <w:semiHidden/>
    <w:rsid w:val="00F578B9"/>
    <w:rPr>
      <w:sz w:val="16"/>
      <w:szCs w:val="16"/>
    </w:rPr>
  </w:style>
  <w:style w:type="paragraph" w:styleId="CommentText">
    <w:name w:val="annotation text"/>
    <w:basedOn w:val="Normal"/>
    <w:link w:val="CommentTextChar"/>
    <w:uiPriority w:val="99"/>
    <w:semiHidden/>
    <w:rsid w:val="00F578B9"/>
    <w:rPr>
      <w:sz w:val="20"/>
      <w:szCs w:val="20"/>
      <w:lang w:val="x-none" w:eastAsia="x-none"/>
    </w:rPr>
  </w:style>
  <w:style w:type="character" w:customStyle="1" w:styleId="CommentTextChar">
    <w:name w:val="Comment Text Char"/>
    <w:link w:val="CommentText"/>
    <w:uiPriority w:val="99"/>
    <w:semiHidden/>
    <w:rsid w:val="00F578B9"/>
    <w:rPr>
      <w:rFonts w:ascii="Times New Roman" w:eastAsia="Times New Roman" w:hAnsi="Times New Roman" w:cs="Times New Roman"/>
      <w:sz w:val="20"/>
      <w:szCs w:val="20"/>
    </w:rPr>
  </w:style>
  <w:style w:type="paragraph" w:styleId="BodyText">
    <w:name w:val="Body Text"/>
    <w:basedOn w:val="Normal"/>
    <w:link w:val="BodyTextChar"/>
    <w:semiHidden/>
    <w:rsid w:val="00F578B9"/>
    <w:rPr>
      <w:sz w:val="18"/>
      <w:szCs w:val="18"/>
      <w:lang w:val="x-none" w:eastAsia="x-none"/>
    </w:rPr>
  </w:style>
  <w:style w:type="character" w:customStyle="1" w:styleId="BodyTextChar">
    <w:name w:val="Body Text Char"/>
    <w:link w:val="BodyText"/>
    <w:semiHidden/>
    <w:rsid w:val="00F578B9"/>
    <w:rPr>
      <w:rFonts w:ascii="Times New Roman" w:eastAsia="Times New Roman" w:hAnsi="Times New Roman" w:cs="Times New Roman"/>
      <w:sz w:val="18"/>
      <w:szCs w:val="18"/>
    </w:rPr>
  </w:style>
  <w:style w:type="paragraph" w:customStyle="1" w:styleId="Table">
    <w:name w:val="Table"/>
    <w:basedOn w:val="Header"/>
    <w:rsid w:val="00F578B9"/>
    <w:rPr>
      <w:rFonts w:ascii="Arial" w:hAnsi="Arial" w:cs="Arial"/>
      <w:b/>
      <w:bCs/>
      <w:sz w:val="22"/>
    </w:rPr>
  </w:style>
  <w:style w:type="character" w:styleId="Emphasis">
    <w:name w:val="Emphasis"/>
    <w:qFormat/>
    <w:rsid w:val="00F578B9"/>
    <w:rPr>
      <w:i/>
      <w:iCs/>
    </w:rPr>
  </w:style>
  <w:style w:type="paragraph" w:styleId="CommentSubject">
    <w:name w:val="annotation subject"/>
    <w:basedOn w:val="CommentText"/>
    <w:next w:val="CommentText"/>
    <w:link w:val="CommentSubjectChar"/>
    <w:semiHidden/>
    <w:rsid w:val="00F578B9"/>
    <w:rPr>
      <w:b/>
      <w:bCs/>
    </w:rPr>
  </w:style>
  <w:style w:type="character" w:customStyle="1" w:styleId="CommentSubjectChar">
    <w:name w:val="Comment Subject Char"/>
    <w:link w:val="CommentSubject"/>
    <w:semiHidden/>
    <w:rsid w:val="00F578B9"/>
    <w:rPr>
      <w:rFonts w:ascii="Times New Roman" w:eastAsia="Times New Roman" w:hAnsi="Times New Roman" w:cs="Times New Roman"/>
      <w:b/>
      <w:bCs/>
      <w:sz w:val="20"/>
      <w:szCs w:val="20"/>
    </w:rPr>
  </w:style>
  <w:style w:type="paragraph" w:styleId="DocumentMap">
    <w:name w:val="Document Map"/>
    <w:basedOn w:val="Normal"/>
    <w:link w:val="DocumentMapChar"/>
    <w:semiHidden/>
    <w:rsid w:val="00F578B9"/>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F578B9"/>
    <w:rPr>
      <w:rFonts w:ascii="Tahoma" w:eastAsia="Times New Roman" w:hAnsi="Tahoma" w:cs="Tahoma"/>
      <w:sz w:val="20"/>
      <w:szCs w:val="20"/>
      <w:shd w:val="clear" w:color="auto" w:fill="000080"/>
    </w:rPr>
  </w:style>
  <w:style w:type="character" w:styleId="Strong">
    <w:name w:val="Strong"/>
    <w:uiPriority w:val="22"/>
    <w:qFormat/>
    <w:rsid w:val="00F578B9"/>
    <w:rPr>
      <w:b/>
      <w:bCs/>
    </w:rPr>
  </w:style>
  <w:style w:type="paragraph" w:styleId="ListParagraph">
    <w:name w:val="List Paragraph"/>
    <w:basedOn w:val="Normal"/>
    <w:uiPriority w:val="34"/>
    <w:qFormat/>
    <w:rsid w:val="00F578B9"/>
    <w:pPr>
      <w:ind w:left="720"/>
      <w:contextualSpacing/>
    </w:pPr>
  </w:style>
  <w:style w:type="paragraph" w:styleId="FootnoteText">
    <w:name w:val="footnote text"/>
    <w:basedOn w:val="Normal"/>
    <w:link w:val="FootnoteTextChar"/>
    <w:semiHidden/>
    <w:rsid w:val="00F578B9"/>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overflowPunct w:val="0"/>
      <w:autoSpaceDE w:val="0"/>
      <w:autoSpaceDN w:val="0"/>
      <w:adjustRightInd w:val="0"/>
      <w:spacing w:before="120" w:after="120"/>
      <w:textAlignment w:val="baseline"/>
    </w:pPr>
    <w:rPr>
      <w:szCs w:val="20"/>
      <w:lang w:val="x-none" w:eastAsia="x-none"/>
    </w:rPr>
  </w:style>
  <w:style w:type="character" w:customStyle="1" w:styleId="FootnoteTextChar">
    <w:name w:val="Footnote Text Char"/>
    <w:link w:val="FootnoteText"/>
    <w:semiHidden/>
    <w:rsid w:val="00F578B9"/>
    <w:rPr>
      <w:rFonts w:ascii="Times New Roman" w:eastAsia="Times New Roman" w:hAnsi="Times New Roman" w:cs="Times New Roman"/>
      <w:sz w:val="24"/>
      <w:szCs w:val="20"/>
    </w:rPr>
  </w:style>
  <w:style w:type="character" w:styleId="FootnoteReference">
    <w:name w:val="footnote reference"/>
    <w:semiHidden/>
    <w:rsid w:val="00F578B9"/>
    <w:rPr>
      <w:vertAlign w:val="superscript"/>
    </w:rPr>
  </w:style>
  <w:style w:type="character" w:customStyle="1" w:styleId="CaptionChar">
    <w:name w:val="Caption Char"/>
    <w:link w:val="Caption"/>
    <w:locked/>
    <w:rsid w:val="00F578B9"/>
    <w:rPr>
      <w:rFonts w:ascii="Times New Roman" w:eastAsia="Times New Roman" w:hAnsi="Times New Roman" w:cs="Times New Roman"/>
      <w:b/>
      <w:bCs/>
      <w:sz w:val="20"/>
      <w:szCs w:val="20"/>
    </w:rPr>
  </w:style>
  <w:style w:type="paragraph" w:customStyle="1" w:styleId="NormalParagraph">
    <w:name w:val="Normal Paragraph"/>
    <w:basedOn w:val="Normal"/>
    <w:rsid w:val="00F578B9"/>
    <w:pPr>
      <w:spacing w:after="240"/>
    </w:pPr>
  </w:style>
  <w:style w:type="paragraph" w:customStyle="1" w:styleId="WPText">
    <w:name w:val="WP Text"/>
    <w:link w:val="WPTextChar"/>
    <w:rsid w:val="00F578B9"/>
    <w:rPr>
      <w:rFonts w:ascii="Times New Roman" w:eastAsia="Times New Roman" w:hAnsi="Times New Roman"/>
      <w:sz w:val="24"/>
      <w:szCs w:val="24"/>
    </w:rPr>
  </w:style>
  <w:style w:type="character" w:customStyle="1" w:styleId="WPTextChar">
    <w:name w:val="WP Text Char"/>
    <w:link w:val="WPText"/>
    <w:locked/>
    <w:rsid w:val="00F578B9"/>
    <w:rPr>
      <w:rFonts w:ascii="Times New Roman" w:eastAsia="Times New Roman" w:hAnsi="Times New Roman"/>
      <w:sz w:val="24"/>
      <w:szCs w:val="24"/>
      <w:lang w:bidi="ar-SA"/>
    </w:rPr>
  </w:style>
  <w:style w:type="table" w:customStyle="1" w:styleId="LightShading1">
    <w:name w:val="Light Shading1"/>
    <w:basedOn w:val="TableNormal"/>
    <w:uiPriority w:val="60"/>
    <w:rsid w:val="00F578B9"/>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45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eadcrumbs">
    <w:name w:val="breadcrumbs"/>
    <w:rsid w:val="00D45F6F"/>
  </w:style>
  <w:style w:type="table" w:customStyle="1" w:styleId="TableGrid1">
    <w:name w:val="Table Grid1"/>
    <w:basedOn w:val="TableNormal"/>
    <w:next w:val="TableGrid"/>
    <w:rsid w:val="00786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54630"/>
    <w:pPr>
      <w:keepLines/>
      <w:spacing w:before="480" w:after="0" w:line="276" w:lineRule="auto"/>
      <w:outlineLvl w:val="9"/>
    </w:pPr>
    <w:rPr>
      <w:rFonts w:ascii="Cambria" w:eastAsia="MS Gothic" w:hAnsi="Cambria"/>
      <w:color w:val="365F91"/>
      <w:kern w:val="0"/>
      <w:sz w:val="28"/>
      <w:szCs w:val="28"/>
      <w:lang w:val="en-US" w:eastAsia="ja-JP"/>
    </w:rPr>
  </w:style>
  <w:style w:type="paragraph" w:customStyle="1" w:styleId="Reminders">
    <w:name w:val="Reminders"/>
    <w:basedOn w:val="Normal"/>
    <w:link w:val="RemindersChar"/>
    <w:rsid w:val="00536ADD"/>
    <w:pPr>
      <w:spacing w:before="40" w:after="40"/>
    </w:pPr>
    <w:rPr>
      <w:rFonts w:ascii="Trebuchet MS" w:hAnsi="Trebuchet MS"/>
      <w:i/>
      <w:color w:val="FF0000"/>
      <w:sz w:val="22"/>
    </w:rPr>
  </w:style>
  <w:style w:type="character" w:customStyle="1" w:styleId="RemindersChar">
    <w:name w:val="Reminders Char"/>
    <w:basedOn w:val="DefaultParagraphFont"/>
    <w:link w:val="Reminders"/>
    <w:rsid w:val="00536ADD"/>
    <w:rPr>
      <w:rFonts w:ascii="Trebuchet MS" w:eastAsia="Times New Roman" w:hAnsi="Trebuchet MS"/>
      <w:i/>
      <w:color w:val="FF0000"/>
      <w:sz w:val="22"/>
      <w:szCs w:val="24"/>
    </w:rPr>
  </w:style>
  <w:style w:type="character" w:styleId="PlaceholderText">
    <w:name w:val="Placeholder Text"/>
    <w:basedOn w:val="DefaultParagraphFont"/>
    <w:uiPriority w:val="99"/>
    <w:semiHidden/>
    <w:rsid w:val="00536ADD"/>
    <w:rPr>
      <w:color w:val="808080"/>
    </w:rPr>
  </w:style>
  <w:style w:type="paragraph" w:customStyle="1" w:styleId="WPnumber">
    <w:name w:val="WPnumber"/>
    <w:basedOn w:val="Normal"/>
    <w:link w:val="WPnumberChar"/>
    <w:rsid w:val="00536ADD"/>
    <w:pPr>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536ADD"/>
    <w:rPr>
      <w:rFonts w:asciiTheme="minorHAnsi" w:eastAsia="Times New Roman" w:hAnsiTheme="minorHAnsi" w:cstheme="minorHAnsi"/>
      <w:b/>
      <w:sz w:val="48"/>
      <w:szCs w:val="48"/>
    </w:rPr>
  </w:style>
  <w:style w:type="paragraph" w:customStyle="1" w:styleId="Revnumber">
    <w:name w:val="Revnumber"/>
    <w:basedOn w:val="WPnumber"/>
    <w:link w:val="RevnumberChar"/>
    <w:rsid w:val="00536ADD"/>
  </w:style>
  <w:style w:type="character" w:customStyle="1" w:styleId="RevnumberChar">
    <w:name w:val="Revnumber Char"/>
    <w:basedOn w:val="WPnumberChar"/>
    <w:link w:val="Revnumber"/>
    <w:rsid w:val="00536ADD"/>
    <w:rPr>
      <w:rFonts w:asciiTheme="minorHAnsi" w:eastAsia="Times New Roman" w:hAnsiTheme="minorHAnsi" w:cstheme="minorHAnsi"/>
      <w:b/>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471872">
      <w:bodyDiv w:val="1"/>
      <w:marLeft w:val="0"/>
      <w:marRight w:val="0"/>
      <w:marTop w:val="0"/>
      <w:marBottom w:val="0"/>
      <w:divBdr>
        <w:top w:val="none" w:sz="0" w:space="0" w:color="auto"/>
        <w:left w:val="none" w:sz="0" w:space="0" w:color="auto"/>
        <w:bottom w:val="none" w:sz="0" w:space="0" w:color="auto"/>
        <w:right w:val="none" w:sz="0" w:space="0" w:color="auto"/>
      </w:divBdr>
    </w:div>
    <w:div w:id="352270373">
      <w:bodyDiv w:val="1"/>
      <w:marLeft w:val="0"/>
      <w:marRight w:val="0"/>
      <w:marTop w:val="0"/>
      <w:marBottom w:val="0"/>
      <w:divBdr>
        <w:top w:val="none" w:sz="0" w:space="0" w:color="auto"/>
        <w:left w:val="none" w:sz="0" w:space="0" w:color="auto"/>
        <w:bottom w:val="none" w:sz="0" w:space="0" w:color="auto"/>
        <w:right w:val="none" w:sz="0" w:space="0" w:color="auto"/>
      </w:divBdr>
    </w:div>
    <w:div w:id="467287492">
      <w:bodyDiv w:val="1"/>
      <w:marLeft w:val="0"/>
      <w:marRight w:val="0"/>
      <w:marTop w:val="0"/>
      <w:marBottom w:val="0"/>
      <w:divBdr>
        <w:top w:val="none" w:sz="0" w:space="0" w:color="auto"/>
        <w:left w:val="none" w:sz="0" w:space="0" w:color="auto"/>
        <w:bottom w:val="none" w:sz="0" w:space="0" w:color="auto"/>
        <w:right w:val="none" w:sz="0" w:space="0" w:color="auto"/>
      </w:divBdr>
    </w:div>
    <w:div w:id="616713733">
      <w:bodyDiv w:val="1"/>
      <w:marLeft w:val="0"/>
      <w:marRight w:val="0"/>
      <w:marTop w:val="0"/>
      <w:marBottom w:val="0"/>
      <w:divBdr>
        <w:top w:val="none" w:sz="0" w:space="0" w:color="auto"/>
        <w:left w:val="none" w:sz="0" w:space="0" w:color="auto"/>
        <w:bottom w:val="none" w:sz="0" w:space="0" w:color="auto"/>
        <w:right w:val="none" w:sz="0" w:space="0" w:color="auto"/>
      </w:divBdr>
    </w:div>
    <w:div w:id="1078332314">
      <w:bodyDiv w:val="1"/>
      <w:marLeft w:val="0"/>
      <w:marRight w:val="0"/>
      <w:marTop w:val="0"/>
      <w:marBottom w:val="0"/>
      <w:divBdr>
        <w:top w:val="none" w:sz="0" w:space="0" w:color="auto"/>
        <w:left w:val="none" w:sz="0" w:space="0" w:color="auto"/>
        <w:bottom w:val="none" w:sz="0" w:space="0" w:color="auto"/>
        <w:right w:val="none" w:sz="0" w:space="0" w:color="auto"/>
      </w:divBdr>
    </w:div>
    <w:div w:id="1410812500">
      <w:bodyDiv w:val="1"/>
      <w:marLeft w:val="0"/>
      <w:marRight w:val="0"/>
      <w:marTop w:val="0"/>
      <w:marBottom w:val="0"/>
      <w:divBdr>
        <w:top w:val="none" w:sz="0" w:space="0" w:color="auto"/>
        <w:left w:val="none" w:sz="0" w:space="0" w:color="auto"/>
        <w:bottom w:val="none" w:sz="0" w:space="0" w:color="auto"/>
        <w:right w:val="none" w:sz="0" w:space="0" w:color="auto"/>
      </w:divBdr>
    </w:div>
    <w:div w:id="1765226762">
      <w:bodyDiv w:val="1"/>
      <w:marLeft w:val="0"/>
      <w:marRight w:val="0"/>
      <w:marTop w:val="0"/>
      <w:marBottom w:val="0"/>
      <w:divBdr>
        <w:top w:val="none" w:sz="0" w:space="0" w:color="auto"/>
        <w:left w:val="none" w:sz="0" w:space="0" w:color="auto"/>
        <w:bottom w:val="none" w:sz="0" w:space="0" w:color="auto"/>
        <w:right w:val="none" w:sz="0" w:space="0" w:color="auto"/>
      </w:divBdr>
    </w:div>
    <w:div w:id="1771463571">
      <w:bodyDiv w:val="1"/>
      <w:marLeft w:val="0"/>
      <w:marRight w:val="0"/>
      <w:marTop w:val="0"/>
      <w:marBottom w:val="0"/>
      <w:divBdr>
        <w:top w:val="none" w:sz="0" w:space="0" w:color="auto"/>
        <w:left w:val="none" w:sz="0" w:space="0" w:color="auto"/>
        <w:bottom w:val="none" w:sz="0" w:space="0" w:color="auto"/>
        <w:right w:val="none" w:sz="0" w:space="0" w:color="auto"/>
      </w:divBdr>
    </w:div>
    <w:div w:id="194992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www.energy.ca.gov/2014publications/CEC-500-2014-095/CEC-500-2014-095.pdf"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energy.ca.gov/2014publications/CEC-500-2014-095/CEC-500-2014-095.pdf" TargetMode="External"/><Relationship Id="rId20"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nergy.ca.gov/reports/2003-04-10_500-03-007F.PDF" TargetMode="External"/><Relationship Id="rId23"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10" Type="http://schemas.openxmlformats.org/officeDocument/2006/relationships/endnotes" Target="endnotes.xml"/><Relationship Id="rId19"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index.php/deer-versions/deer2016" TargetMode="External"/><Relationship Id="rId2" Type="http://schemas.openxmlformats.org/officeDocument/2006/relationships/hyperlink" Target="http://www.energy.ca.gov/reports/2003-04-10_500-03-007F.PDF" TargetMode="External"/><Relationship Id="rId1" Type="http://schemas.openxmlformats.org/officeDocument/2006/relationships/hyperlink" Target="http://www.energystar.gov/ia/partners/product_specs/program_reqs/Commercial_Ovens_Program_Requirements.pdf" TargetMode="External"/><Relationship Id="rId6" Type="http://schemas.openxmlformats.org/officeDocument/2006/relationships/hyperlink" Target="http://www.aqnet.com/" TargetMode="External"/><Relationship Id="rId5" Type="http://schemas.openxmlformats.org/officeDocument/2006/relationships/hyperlink" Target="https://urldefense.proofpoint.com/v2/url?u=http-3A__www.fishnick.com_equipment_techassessment_Appliance-5FTech-5FAssessment.pdf&amp;d=CwMFAw&amp;c=hLS_V_MyRCwXDjNCFvC1XhVzdhW2dOtrP9xQj43rEYI&amp;r=TlrXy5TrK8nTfd5c4pv-ow&amp;m=8GUF8BsIyD7iMSlChzete0XPQTuFl3CsoU_QQ5cvRbU&amp;s=7KXfG9Kd-nc6obo3KT6NpkBzh_0CkQxHbIuq8SZbTVY&amp;e=" TargetMode="External"/><Relationship Id="rId4" Type="http://schemas.openxmlformats.org/officeDocument/2006/relationships/hyperlink" Target="http://www.deeresources.com/index.php/deer-versions/read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7DC4BC39E3544228D2A8945279F6060"/>
        <w:category>
          <w:name w:val="General"/>
          <w:gallery w:val="placeholder"/>
        </w:category>
        <w:types>
          <w:type w:val="bbPlcHdr"/>
        </w:types>
        <w:behaviors>
          <w:behavior w:val="content"/>
        </w:behaviors>
        <w:guid w:val="{07091717-1AF1-4A65-AC4A-B93646DDC197}"/>
      </w:docPartPr>
      <w:docPartBody>
        <w:p w:rsidR="00095B1D" w:rsidRDefault="00B62EAE" w:rsidP="00B62EAE">
          <w:pPr>
            <w:pStyle w:val="47DC4BC39E3544228D2A8945279F6060"/>
          </w:pPr>
          <w:r w:rsidRPr="0033327F">
            <w:rPr>
              <w:rStyle w:val="PlaceholderText"/>
            </w:rPr>
            <w:t>[Title]</w:t>
          </w:r>
        </w:p>
      </w:docPartBody>
    </w:docPart>
    <w:docPart>
      <w:docPartPr>
        <w:name w:val="CE895B1DC8304230A8F72CA562B9A6E7"/>
        <w:category>
          <w:name w:val="General"/>
          <w:gallery w:val="placeholder"/>
        </w:category>
        <w:types>
          <w:type w:val="bbPlcHdr"/>
        </w:types>
        <w:behaviors>
          <w:behavior w:val="content"/>
        </w:behaviors>
        <w:guid w:val="{17E332E7-1B91-4239-B34C-9BCF9F473BD0}"/>
      </w:docPartPr>
      <w:docPartBody>
        <w:p w:rsidR="00095B1D" w:rsidRDefault="00B62EAE" w:rsidP="00B62EAE">
          <w:pPr>
            <w:pStyle w:val="CE895B1DC8304230A8F72CA562B9A6E7"/>
          </w:pPr>
          <w:r w:rsidRPr="0033327F">
            <w:rPr>
              <w:rStyle w:val="PlaceholderText"/>
            </w:rPr>
            <w:t>[Status]</w:t>
          </w:r>
        </w:p>
      </w:docPartBody>
    </w:docPart>
    <w:docPart>
      <w:docPartPr>
        <w:name w:val="A9E6B0A547CC41B6B93F1B61E58D7785"/>
        <w:category>
          <w:name w:val="General"/>
          <w:gallery w:val="placeholder"/>
        </w:category>
        <w:types>
          <w:type w:val="bbPlcHdr"/>
        </w:types>
        <w:behaviors>
          <w:behavior w:val="content"/>
        </w:behaviors>
        <w:guid w:val="{F95BCF0B-A971-44FE-BCDE-9C0DCB9FB163}"/>
      </w:docPartPr>
      <w:docPartBody>
        <w:p w:rsidR="00095B1D" w:rsidRDefault="00B62EAE" w:rsidP="00B62EAE">
          <w:pPr>
            <w:pStyle w:val="A9E6B0A547CC41B6B93F1B61E58D7785"/>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EAE"/>
    <w:rsid w:val="00000D7F"/>
    <w:rsid w:val="00095B1D"/>
    <w:rsid w:val="004312FA"/>
    <w:rsid w:val="00B62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2EAE"/>
    <w:rPr>
      <w:color w:val="808080"/>
    </w:rPr>
  </w:style>
  <w:style w:type="paragraph" w:customStyle="1" w:styleId="47DC4BC39E3544228D2A8945279F6060">
    <w:name w:val="47DC4BC39E3544228D2A8945279F6060"/>
    <w:rsid w:val="00B62EAE"/>
  </w:style>
  <w:style w:type="paragraph" w:customStyle="1" w:styleId="CE895B1DC8304230A8F72CA562B9A6E7">
    <w:name w:val="CE895B1DC8304230A8F72CA562B9A6E7"/>
    <w:rsid w:val="00B62EAE"/>
  </w:style>
  <w:style w:type="paragraph" w:customStyle="1" w:styleId="A9E6B0A547CC41B6B93F1B61E58D7785">
    <w:name w:val="A9E6B0A547CC41B6B93F1B61E58D7785"/>
    <w:rsid w:val="00B62E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F4424-B5EB-47F2-8C16-C480EA57B2C5}">
  <ds:schemaRefs>
    <ds:schemaRef ds:uri="http://www.w3.org/XML/1998/namespace"/>
    <ds:schemaRef ds:uri="http://schemas.microsoft.com/office/2006/metadata/properties"/>
    <ds:schemaRef ds:uri="http://schemas.microsoft.com/office/2006/documentManagement/types"/>
    <ds:schemaRef ds:uri="http://purl.org/dc/dcmitype/"/>
    <ds:schemaRef ds:uri="http://purl.org/dc/term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75C8750B-A1EC-45BA-A7AC-EAB4CCBD0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7A5687D-80B2-4626-BFED-E4FFFE5A8B0C}">
  <ds:schemaRefs>
    <ds:schemaRef ds:uri="http://schemas.microsoft.com/sharepoint/v3/contenttype/forms"/>
  </ds:schemaRefs>
</ds:datastoreItem>
</file>

<file path=customXml/itemProps4.xml><?xml version="1.0" encoding="utf-8"?>
<ds:datastoreItem xmlns:ds="http://schemas.openxmlformats.org/officeDocument/2006/customXml" ds:itemID="{5E8DD022-5A6C-4CC5-B1A1-9858300AA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7191</Words>
  <Characters>40993</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SCE13CC011</vt:lpstr>
    </vt:vector>
  </TitlesOfParts>
  <Company>Southern California Edison</Company>
  <LinksUpToDate>false</LinksUpToDate>
  <CharactersWithSpaces>48088</CharactersWithSpaces>
  <SharedDoc>false</SharedDoc>
  <HLinks>
    <vt:vector size="300" baseType="variant">
      <vt:variant>
        <vt:i4>3080247</vt:i4>
      </vt:variant>
      <vt:variant>
        <vt:i4>288</vt:i4>
      </vt:variant>
      <vt:variant>
        <vt:i4>0</vt:i4>
      </vt:variant>
      <vt:variant>
        <vt:i4>5</vt:i4>
      </vt:variant>
      <vt:variant>
        <vt:lpwstr>http://www.energy.ca.gov/2014publications/CEC-500-2014-095/CEC-500-2014-095.pdf</vt:lpwstr>
      </vt:variant>
      <vt:variant>
        <vt:lpwstr/>
      </vt:variant>
      <vt:variant>
        <vt:i4>3080247</vt:i4>
      </vt:variant>
      <vt:variant>
        <vt:i4>267</vt:i4>
      </vt:variant>
      <vt:variant>
        <vt:i4>0</vt:i4>
      </vt:variant>
      <vt:variant>
        <vt:i4>5</vt:i4>
      </vt:variant>
      <vt:variant>
        <vt:lpwstr>http://www.energy.ca.gov/2014publications/CEC-500-2014-095/CEC-500-2014-095.pdf</vt:lpwstr>
      </vt:variant>
      <vt:variant>
        <vt:lpwstr/>
      </vt:variant>
      <vt:variant>
        <vt:i4>458873</vt:i4>
      </vt:variant>
      <vt:variant>
        <vt:i4>261</vt:i4>
      </vt:variant>
      <vt:variant>
        <vt:i4>0</vt:i4>
      </vt:variant>
      <vt:variant>
        <vt:i4>5</vt:i4>
      </vt:variant>
      <vt:variant>
        <vt:lpwstr>http://www.energy.ca.gov/reports/2003-04-10_500-03-007F.PDF</vt:lpwstr>
      </vt:variant>
      <vt:variant>
        <vt:lpwstr/>
      </vt:variant>
      <vt:variant>
        <vt:i4>1245238</vt:i4>
      </vt:variant>
      <vt:variant>
        <vt:i4>251</vt:i4>
      </vt:variant>
      <vt:variant>
        <vt:i4>0</vt:i4>
      </vt:variant>
      <vt:variant>
        <vt:i4>5</vt:i4>
      </vt:variant>
      <vt:variant>
        <vt:lpwstr/>
      </vt:variant>
      <vt:variant>
        <vt:lpwstr>_Toc452474717</vt:lpwstr>
      </vt:variant>
      <vt:variant>
        <vt:i4>1245238</vt:i4>
      </vt:variant>
      <vt:variant>
        <vt:i4>245</vt:i4>
      </vt:variant>
      <vt:variant>
        <vt:i4>0</vt:i4>
      </vt:variant>
      <vt:variant>
        <vt:i4>5</vt:i4>
      </vt:variant>
      <vt:variant>
        <vt:lpwstr/>
      </vt:variant>
      <vt:variant>
        <vt:lpwstr>_Toc452474716</vt:lpwstr>
      </vt:variant>
      <vt:variant>
        <vt:i4>1245238</vt:i4>
      </vt:variant>
      <vt:variant>
        <vt:i4>239</vt:i4>
      </vt:variant>
      <vt:variant>
        <vt:i4>0</vt:i4>
      </vt:variant>
      <vt:variant>
        <vt:i4>5</vt:i4>
      </vt:variant>
      <vt:variant>
        <vt:lpwstr/>
      </vt:variant>
      <vt:variant>
        <vt:lpwstr>_Toc452474715</vt:lpwstr>
      </vt:variant>
      <vt:variant>
        <vt:i4>1245238</vt:i4>
      </vt:variant>
      <vt:variant>
        <vt:i4>233</vt:i4>
      </vt:variant>
      <vt:variant>
        <vt:i4>0</vt:i4>
      </vt:variant>
      <vt:variant>
        <vt:i4>5</vt:i4>
      </vt:variant>
      <vt:variant>
        <vt:lpwstr/>
      </vt:variant>
      <vt:variant>
        <vt:lpwstr>_Toc452474714</vt:lpwstr>
      </vt:variant>
      <vt:variant>
        <vt:i4>1245238</vt:i4>
      </vt:variant>
      <vt:variant>
        <vt:i4>227</vt:i4>
      </vt:variant>
      <vt:variant>
        <vt:i4>0</vt:i4>
      </vt:variant>
      <vt:variant>
        <vt:i4>5</vt:i4>
      </vt:variant>
      <vt:variant>
        <vt:lpwstr/>
      </vt:variant>
      <vt:variant>
        <vt:lpwstr>_Toc452474713</vt:lpwstr>
      </vt:variant>
      <vt:variant>
        <vt:i4>1245238</vt:i4>
      </vt:variant>
      <vt:variant>
        <vt:i4>221</vt:i4>
      </vt:variant>
      <vt:variant>
        <vt:i4>0</vt:i4>
      </vt:variant>
      <vt:variant>
        <vt:i4>5</vt:i4>
      </vt:variant>
      <vt:variant>
        <vt:lpwstr/>
      </vt:variant>
      <vt:variant>
        <vt:lpwstr>_Toc452474712</vt:lpwstr>
      </vt:variant>
      <vt:variant>
        <vt:i4>1245238</vt:i4>
      </vt:variant>
      <vt:variant>
        <vt:i4>215</vt:i4>
      </vt:variant>
      <vt:variant>
        <vt:i4>0</vt:i4>
      </vt:variant>
      <vt:variant>
        <vt:i4>5</vt:i4>
      </vt:variant>
      <vt:variant>
        <vt:lpwstr/>
      </vt:variant>
      <vt:variant>
        <vt:lpwstr>_Toc452474711</vt:lpwstr>
      </vt:variant>
      <vt:variant>
        <vt:i4>1245238</vt:i4>
      </vt:variant>
      <vt:variant>
        <vt:i4>209</vt:i4>
      </vt:variant>
      <vt:variant>
        <vt:i4>0</vt:i4>
      </vt:variant>
      <vt:variant>
        <vt:i4>5</vt:i4>
      </vt:variant>
      <vt:variant>
        <vt:lpwstr/>
      </vt:variant>
      <vt:variant>
        <vt:lpwstr>_Toc452474710</vt:lpwstr>
      </vt:variant>
      <vt:variant>
        <vt:i4>1179702</vt:i4>
      </vt:variant>
      <vt:variant>
        <vt:i4>203</vt:i4>
      </vt:variant>
      <vt:variant>
        <vt:i4>0</vt:i4>
      </vt:variant>
      <vt:variant>
        <vt:i4>5</vt:i4>
      </vt:variant>
      <vt:variant>
        <vt:lpwstr/>
      </vt:variant>
      <vt:variant>
        <vt:lpwstr>_Toc452474709</vt:lpwstr>
      </vt:variant>
      <vt:variant>
        <vt:i4>1179702</vt:i4>
      </vt:variant>
      <vt:variant>
        <vt:i4>197</vt:i4>
      </vt:variant>
      <vt:variant>
        <vt:i4>0</vt:i4>
      </vt:variant>
      <vt:variant>
        <vt:i4>5</vt:i4>
      </vt:variant>
      <vt:variant>
        <vt:lpwstr/>
      </vt:variant>
      <vt:variant>
        <vt:lpwstr>_Toc452474708</vt:lpwstr>
      </vt:variant>
      <vt:variant>
        <vt:i4>1179702</vt:i4>
      </vt:variant>
      <vt:variant>
        <vt:i4>191</vt:i4>
      </vt:variant>
      <vt:variant>
        <vt:i4>0</vt:i4>
      </vt:variant>
      <vt:variant>
        <vt:i4>5</vt:i4>
      </vt:variant>
      <vt:variant>
        <vt:lpwstr/>
      </vt:variant>
      <vt:variant>
        <vt:lpwstr>_Toc452474707</vt:lpwstr>
      </vt:variant>
      <vt:variant>
        <vt:i4>1179702</vt:i4>
      </vt:variant>
      <vt:variant>
        <vt:i4>185</vt:i4>
      </vt:variant>
      <vt:variant>
        <vt:i4>0</vt:i4>
      </vt:variant>
      <vt:variant>
        <vt:i4>5</vt:i4>
      </vt:variant>
      <vt:variant>
        <vt:lpwstr/>
      </vt:variant>
      <vt:variant>
        <vt:lpwstr>_Toc452474706</vt:lpwstr>
      </vt:variant>
      <vt:variant>
        <vt:i4>1179702</vt:i4>
      </vt:variant>
      <vt:variant>
        <vt:i4>179</vt:i4>
      </vt:variant>
      <vt:variant>
        <vt:i4>0</vt:i4>
      </vt:variant>
      <vt:variant>
        <vt:i4>5</vt:i4>
      </vt:variant>
      <vt:variant>
        <vt:lpwstr/>
      </vt:variant>
      <vt:variant>
        <vt:lpwstr>_Toc452474705</vt:lpwstr>
      </vt:variant>
      <vt:variant>
        <vt:i4>1179702</vt:i4>
      </vt:variant>
      <vt:variant>
        <vt:i4>173</vt:i4>
      </vt:variant>
      <vt:variant>
        <vt:i4>0</vt:i4>
      </vt:variant>
      <vt:variant>
        <vt:i4>5</vt:i4>
      </vt:variant>
      <vt:variant>
        <vt:lpwstr/>
      </vt:variant>
      <vt:variant>
        <vt:lpwstr>_Toc452474704</vt:lpwstr>
      </vt:variant>
      <vt:variant>
        <vt:i4>1179702</vt:i4>
      </vt:variant>
      <vt:variant>
        <vt:i4>167</vt:i4>
      </vt:variant>
      <vt:variant>
        <vt:i4>0</vt:i4>
      </vt:variant>
      <vt:variant>
        <vt:i4>5</vt:i4>
      </vt:variant>
      <vt:variant>
        <vt:lpwstr/>
      </vt:variant>
      <vt:variant>
        <vt:lpwstr>_Toc452474703</vt:lpwstr>
      </vt:variant>
      <vt:variant>
        <vt:i4>1769527</vt:i4>
      </vt:variant>
      <vt:variant>
        <vt:i4>158</vt:i4>
      </vt:variant>
      <vt:variant>
        <vt:i4>0</vt:i4>
      </vt:variant>
      <vt:variant>
        <vt:i4>5</vt:i4>
      </vt:variant>
      <vt:variant>
        <vt:lpwstr/>
      </vt:variant>
      <vt:variant>
        <vt:lpwstr>_Toc456870214</vt:lpwstr>
      </vt:variant>
      <vt:variant>
        <vt:i4>1769527</vt:i4>
      </vt:variant>
      <vt:variant>
        <vt:i4>152</vt:i4>
      </vt:variant>
      <vt:variant>
        <vt:i4>0</vt:i4>
      </vt:variant>
      <vt:variant>
        <vt:i4>5</vt:i4>
      </vt:variant>
      <vt:variant>
        <vt:lpwstr/>
      </vt:variant>
      <vt:variant>
        <vt:lpwstr>_Toc456870213</vt:lpwstr>
      </vt:variant>
      <vt:variant>
        <vt:i4>1769527</vt:i4>
      </vt:variant>
      <vt:variant>
        <vt:i4>146</vt:i4>
      </vt:variant>
      <vt:variant>
        <vt:i4>0</vt:i4>
      </vt:variant>
      <vt:variant>
        <vt:i4>5</vt:i4>
      </vt:variant>
      <vt:variant>
        <vt:lpwstr/>
      </vt:variant>
      <vt:variant>
        <vt:lpwstr>_Toc456870212</vt:lpwstr>
      </vt:variant>
      <vt:variant>
        <vt:i4>1769527</vt:i4>
      </vt:variant>
      <vt:variant>
        <vt:i4>140</vt:i4>
      </vt:variant>
      <vt:variant>
        <vt:i4>0</vt:i4>
      </vt:variant>
      <vt:variant>
        <vt:i4>5</vt:i4>
      </vt:variant>
      <vt:variant>
        <vt:lpwstr/>
      </vt:variant>
      <vt:variant>
        <vt:lpwstr>_Toc456870211</vt:lpwstr>
      </vt:variant>
      <vt:variant>
        <vt:i4>1769527</vt:i4>
      </vt:variant>
      <vt:variant>
        <vt:i4>134</vt:i4>
      </vt:variant>
      <vt:variant>
        <vt:i4>0</vt:i4>
      </vt:variant>
      <vt:variant>
        <vt:i4>5</vt:i4>
      </vt:variant>
      <vt:variant>
        <vt:lpwstr/>
      </vt:variant>
      <vt:variant>
        <vt:lpwstr>_Toc456870210</vt:lpwstr>
      </vt:variant>
      <vt:variant>
        <vt:i4>1703991</vt:i4>
      </vt:variant>
      <vt:variant>
        <vt:i4>128</vt:i4>
      </vt:variant>
      <vt:variant>
        <vt:i4>0</vt:i4>
      </vt:variant>
      <vt:variant>
        <vt:i4>5</vt:i4>
      </vt:variant>
      <vt:variant>
        <vt:lpwstr/>
      </vt:variant>
      <vt:variant>
        <vt:lpwstr>_Toc456870209</vt:lpwstr>
      </vt:variant>
      <vt:variant>
        <vt:i4>1703991</vt:i4>
      </vt:variant>
      <vt:variant>
        <vt:i4>122</vt:i4>
      </vt:variant>
      <vt:variant>
        <vt:i4>0</vt:i4>
      </vt:variant>
      <vt:variant>
        <vt:i4>5</vt:i4>
      </vt:variant>
      <vt:variant>
        <vt:lpwstr/>
      </vt:variant>
      <vt:variant>
        <vt:lpwstr>_Toc456870208</vt:lpwstr>
      </vt:variant>
      <vt:variant>
        <vt:i4>1703991</vt:i4>
      </vt:variant>
      <vt:variant>
        <vt:i4>116</vt:i4>
      </vt:variant>
      <vt:variant>
        <vt:i4>0</vt:i4>
      </vt:variant>
      <vt:variant>
        <vt:i4>5</vt:i4>
      </vt:variant>
      <vt:variant>
        <vt:lpwstr/>
      </vt:variant>
      <vt:variant>
        <vt:lpwstr>_Toc456870207</vt:lpwstr>
      </vt:variant>
      <vt:variant>
        <vt:i4>1703991</vt:i4>
      </vt:variant>
      <vt:variant>
        <vt:i4>110</vt:i4>
      </vt:variant>
      <vt:variant>
        <vt:i4>0</vt:i4>
      </vt:variant>
      <vt:variant>
        <vt:i4>5</vt:i4>
      </vt:variant>
      <vt:variant>
        <vt:lpwstr/>
      </vt:variant>
      <vt:variant>
        <vt:lpwstr>_Toc456870206</vt:lpwstr>
      </vt:variant>
      <vt:variant>
        <vt:i4>1703991</vt:i4>
      </vt:variant>
      <vt:variant>
        <vt:i4>104</vt:i4>
      </vt:variant>
      <vt:variant>
        <vt:i4>0</vt:i4>
      </vt:variant>
      <vt:variant>
        <vt:i4>5</vt:i4>
      </vt:variant>
      <vt:variant>
        <vt:lpwstr/>
      </vt:variant>
      <vt:variant>
        <vt:lpwstr>_Toc456870205</vt:lpwstr>
      </vt:variant>
      <vt:variant>
        <vt:i4>1703991</vt:i4>
      </vt:variant>
      <vt:variant>
        <vt:i4>98</vt:i4>
      </vt:variant>
      <vt:variant>
        <vt:i4>0</vt:i4>
      </vt:variant>
      <vt:variant>
        <vt:i4>5</vt:i4>
      </vt:variant>
      <vt:variant>
        <vt:lpwstr/>
      </vt:variant>
      <vt:variant>
        <vt:lpwstr>_Toc456870204</vt:lpwstr>
      </vt:variant>
      <vt:variant>
        <vt:i4>1703991</vt:i4>
      </vt:variant>
      <vt:variant>
        <vt:i4>92</vt:i4>
      </vt:variant>
      <vt:variant>
        <vt:i4>0</vt:i4>
      </vt:variant>
      <vt:variant>
        <vt:i4>5</vt:i4>
      </vt:variant>
      <vt:variant>
        <vt:lpwstr/>
      </vt:variant>
      <vt:variant>
        <vt:lpwstr>_Toc456870203</vt:lpwstr>
      </vt:variant>
      <vt:variant>
        <vt:i4>1703991</vt:i4>
      </vt:variant>
      <vt:variant>
        <vt:i4>86</vt:i4>
      </vt:variant>
      <vt:variant>
        <vt:i4>0</vt:i4>
      </vt:variant>
      <vt:variant>
        <vt:i4>5</vt:i4>
      </vt:variant>
      <vt:variant>
        <vt:lpwstr/>
      </vt:variant>
      <vt:variant>
        <vt:lpwstr>_Toc456870202</vt:lpwstr>
      </vt:variant>
      <vt:variant>
        <vt:i4>1703991</vt:i4>
      </vt:variant>
      <vt:variant>
        <vt:i4>80</vt:i4>
      </vt:variant>
      <vt:variant>
        <vt:i4>0</vt:i4>
      </vt:variant>
      <vt:variant>
        <vt:i4>5</vt:i4>
      </vt:variant>
      <vt:variant>
        <vt:lpwstr/>
      </vt:variant>
      <vt:variant>
        <vt:lpwstr>_Toc456870201</vt:lpwstr>
      </vt:variant>
      <vt:variant>
        <vt:i4>1703991</vt:i4>
      </vt:variant>
      <vt:variant>
        <vt:i4>74</vt:i4>
      </vt:variant>
      <vt:variant>
        <vt:i4>0</vt:i4>
      </vt:variant>
      <vt:variant>
        <vt:i4>5</vt:i4>
      </vt:variant>
      <vt:variant>
        <vt:lpwstr/>
      </vt:variant>
      <vt:variant>
        <vt:lpwstr>_Toc456870200</vt:lpwstr>
      </vt:variant>
      <vt:variant>
        <vt:i4>1245236</vt:i4>
      </vt:variant>
      <vt:variant>
        <vt:i4>68</vt:i4>
      </vt:variant>
      <vt:variant>
        <vt:i4>0</vt:i4>
      </vt:variant>
      <vt:variant>
        <vt:i4>5</vt:i4>
      </vt:variant>
      <vt:variant>
        <vt:lpwstr/>
      </vt:variant>
      <vt:variant>
        <vt:lpwstr>_Toc456870199</vt:lpwstr>
      </vt:variant>
      <vt:variant>
        <vt:i4>1245236</vt:i4>
      </vt:variant>
      <vt:variant>
        <vt:i4>62</vt:i4>
      </vt:variant>
      <vt:variant>
        <vt:i4>0</vt:i4>
      </vt:variant>
      <vt:variant>
        <vt:i4>5</vt:i4>
      </vt:variant>
      <vt:variant>
        <vt:lpwstr/>
      </vt:variant>
      <vt:variant>
        <vt:lpwstr>_Toc456870198</vt:lpwstr>
      </vt:variant>
      <vt:variant>
        <vt:i4>1245236</vt:i4>
      </vt:variant>
      <vt:variant>
        <vt:i4>56</vt:i4>
      </vt:variant>
      <vt:variant>
        <vt:i4>0</vt:i4>
      </vt:variant>
      <vt:variant>
        <vt:i4>5</vt:i4>
      </vt:variant>
      <vt:variant>
        <vt:lpwstr/>
      </vt:variant>
      <vt:variant>
        <vt:lpwstr>_Toc456870197</vt:lpwstr>
      </vt:variant>
      <vt:variant>
        <vt:i4>1245236</vt:i4>
      </vt:variant>
      <vt:variant>
        <vt:i4>50</vt:i4>
      </vt:variant>
      <vt:variant>
        <vt:i4>0</vt:i4>
      </vt:variant>
      <vt:variant>
        <vt:i4>5</vt:i4>
      </vt:variant>
      <vt:variant>
        <vt:lpwstr/>
      </vt:variant>
      <vt:variant>
        <vt:lpwstr>_Toc456870196</vt:lpwstr>
      </vt:variant>
      <vt:variant>
        <vt:i4>1245236</vt:i4>
      </vt:variant>
      <vt:variant>
        <vt:i4>44</vt:i4>
      </vt:variant>
      <vt:variant>
        <vt:i4>0</vt:i4>
      </vt:variant>
      <vt:variant>
        <vt:i4>5</vt:i4>
      </vt:variant>
      <vt:variant>
        <vt:lpwstr/>
      </vt:variant>
      <vt:variant>
        <vt:lpwstr>_Toc456870195</vt:lpwstr>
      </vt:variant>
      <vt:variant>
        <vt:i4>1245236</vt:i4>
      </vt:variant>
      <vt:variant>
        <vt:i4>38</vt:i4>
      </vt:variant>
      <vt:variant>
        <vt:i4>0</vt:i4>
      </vt:variant>
      <vt:variant>
        <vt:i4>5</vt:i4>
      </vt:variant>
      <vt:variant>
        <vt:lpwstr/>
      </vt:variant>
      <vt:variant>
        <vt:lpwstr>_Toc456870194</vt:lpwstr>
      </vt:variant>
      <vt:variant>
        <vt:i4>1245236</vt:i4>
      </vt:variant>
      <vt:variant>
        <vt:i4>32</vt:i4>
      </vt:variant>
      <vt:variant>
        <vt:i4>0</vt:i4>
      </vt:variant>
      <vt:variant>
        <vt:i4>5</vt:i4>
      </vt:variant>
      <vt:variant>
        <vt:lpwstr/>
      </vt:variant>
      <vt:variant>
        <vt:lpwstr>_Toc456870193</vt:lpwstr>
      </vt:variant>
      <vt:variant>
        <vt:i4>1245236</vt:i4>
      </vt:variant>
      <vt:variant>
        <vt:i4>26</vt:i4>
      </vt:variant>
      <vt:variant>
        <vt:i4>0</vt:i4>
      </vt:variant>
      <vt:variant>
        <vt:i4>5</vt:i4>
      </vt:variant>
      <vt:variant>
        <vt:lpwstr/>
      </vt:variant>
      <vt:variant>
        <vt:lpwstr>_Toc456870192</vt:lpwstr>
      </vt:variant>
      <vt:variant>
        <vt:i4>1245236</vt:i4>
      </vt:variant>
      <vt:variant>
        <vt:i4>20</vt:i4>
      </vt:variant>
      <vt:variant>
        <vt:i4>0</vt:i4>
      </vt:variant>
      <vt:variant>
        <vt:i4>5</vt:i4>
      </vt:variant>
      <vt:variant>
        <vt:lpwstr/>
      </vt:variant>
      <vt:variant>
        <vt:lpwstr>_Toc456870191</vt:lpwstr>
      </vt:variant>
      <vt:variant>
        <vt:i4>1245236</vt:i4>
      </vt:variant>
      <vt:variant>
        <vt:i4>14</vt:i4>
      </vt:variant>
      <vt:variant>
        <vt:i4>0</vt:i4>
      </vt:variant>
      <vt:variant>
        <vt:i4>5</vt:i4>
      </vt:variant>
      <vt:variant>
        <vt:lpwstr/>
      </vt:variant>
      <vt:variant>
        <vt:lpwstr>_Toc456870190</vt:lpwstr>
      </vt:variant>
      <vt:variant>
        <vt:i4>1179700</vt:i4>
      </vt:variant>
      <vt:variant>
        <vt:i4>8</vt:i4>
      </vt:variant>
      <vt:variant>
        <vt:i4>0</vt:i4>
      </vt:variant>
      <vt:variant>
        <vt:i4>5</vt:i4>
      </vt:variant>
      <vt:variant>
        <vt:lpwstr/>
      </vt:variant>
      <vt:variant>
        <vt:lpwstr>_Toc456870189</vt:lpwstr>
      </vt:variant>
      <vt:variant>
        <vt:i4>1179700</vt:i4>
      </vt:variant>
      <vt:variant>
        <vt:i4>2</vt:i4>
      </vt:variant>
      <vt:variant>
        <vt:i4>0</vt:i4>
      </vt:variant>
      <vt:variant>
        <vt:i4>5</vt:i4>
      </vt:variant>
      <vt:variant>
        <vt:lpwstr/>
      </vt:variant>
      <vt:variant>
        <vt:lpwstr>_Toc456870188</vt:lpwstr>
      </vt:variant>
      <vt:variant>
        <vt:i4>6160389</vt:i4>
      </vt:variant>
      <vt:variant>
        <vt:i4>12</vt:i4>
      </vt:variant>
      <vt:variant>
        <vt:i4>0</vt:i4>
      </vt:variant>
      <vt:variant>
        <vt:i4>5</vt:i4>
      </vt:variant>
      <vt:variant>
        <vt:lpwstr>http://www.aqnet.com/</vt:lpwstr>
      </vt:variant>
      <vt:variant>
        <vt:lpwstr/>
      </vt:variant>
      <vt:variant>
        <vt:i4>65567</vt:i4>
      </vt:variant>
      <vt:variant>
        <vt:i4>9</vt:i4>
      </vt:variant>
      <vt:variant>
        <vt:i4>0</vt:i4>
      </vt:variant>
      <vt:variant>
        <vt:i4>5</vt:i4>
      </vt:variant>
      <vt:variant>
        <vt:lpwstr>http://www.deeresources.com/index.php/deer-versions/readi</vt:lpwstr>
      </vt:variant>
      <vt:variant>
        <vt:lpwstr/>
      </vt:variant>
      <vt:variant>
        <vt:i4>1114126</vt:i4>
      </vt:variant>
      <vt:variant>
        <vt:i4>6</vt:i4>
      </vt:variant>
      <vt:variant>
        <vt:i4>0</vt:i4>
      </vt:variant>
      <vt:variant>
        <vt:i4>5</vt:i4>
      </vt:variant>
      <vt:variant>
        <vt:lpwstr>http://www.deeresources.com/index.php/deer-versions/deer2016</vt:lpwstr>
      </vt:variant>
      <vt:variant>
        <vt:lpwstr/>
      </vt:variant>
      <vt:variant>
        <vt:i4>458873</vt:i4>
      </vt:variant>
      <vt:variant>
        <vt:i4>3</vt:i4>
      </vt:variant>
      <vt:variant>
        <vt:i4>0</vt:i4>
      </vt:variant>
      <vt:variant>
        <vt:i4>5</vt:i4>
      </vt:variant>
      <vt:variant>
        <vt:lpwstr>http://www.energy.ca.gov/reports/2003-04-10_500-03-007F.PDF</vt:lpwstr>
      </vt:variant>
      <vt:variant>
        <vt:lpwstr/>
      </vt:variant>
      <vt:variant>
        <vt:i4>1376360</vt:i4>
      </vt:variant>
      <vt:variant>
        <vt:i4>0</vt:i4>
      </vt:variant>
      <vt:variant>
        <vt:i4>0</vt:i4>
      </vt:variant>
      <vt:variant>
        <vt:i4>5</vt:i4>
      </vt:variant>
      <vt:variant>
        <vt:lpwstr>http://www.energystar.gov/ia/partners/product_specs/program_reqs/Commercial_Ovens_Program_Requirements.pdf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SCE13CC011</dc:title>
  <dc:creator>FSTC</dc:creator>
  <cp:lastModifiedBy>Steven Long</cp:lastModifiedBy>
  <cp:revision>2</cp:revision>
  <cp:lastPrinted>2016-05-24T00:46:00Z</cp:lastPrinted>
  <dcterms:created xsi:type="dcterms:W3CDTF">2016-10-18T18:23:00Z</dcterms:created>
  <dcterms:modified xsi:type="dcterms:W3CDTF">2016-10-18T18:23:00Z</dcterms:modified>
  <cp:contentStatus>Revision 4</cp:contentStatus>
</cp:coreProperties>
</file>